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2" w:rsidRPr="00356A34" w:rsidRDefault="003F0292" w:rsidP="00200E11">
      <w:pPr>
        <w:pStyle w:val="Titolo"/>
        <w:rPr>
          <w:rFonts w:ascii="Arial" w:hAnsi="Arial" w:cs="Arial"/>
          <w:sz w:val="32"/>
          <w:szCs w:val="32"/>
        </w:rPr>
      </w:pPr>
      <w:r w:rsidRPr="00356A34">
        <w:rPr>
          <w:rFonts w:ascii="Arial" w:hAnsi="Arial" w:cs="Arial"/>
          <w:sz w:val="32"/>
          <w:szCs w:val="32"/>
        </w:rPr>
        <w:t>NUCLEO DI VALUTAZIONE</w:t>
      </w:r>
    </w:p>
    <w:p w:rsidR="003F0292" w:rsidRPr="00B43ED4" w:rsidRDefault="003F0292" w:rsidP="00200E11">
      <w:pPr>
        <w:jc w:val="both"/>
        <w:rPr>
          <w:rFonts w:ascii="Georgia" w:hAnsi="Georgia"/>
          <w:sz w:val="24"/>
          <w:szCs w:val="24"/>
        </w:rPr>
      </w:pPr>
    </w:p>
    <w:tbl>
      <w:tblPr>
        <w:tblW w:w="9585" w:type="dxa"/>
        <w:jc w:val="center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5"/>
        <w:gridCol w:w="7610"/>
      </w:tblGrid>
      <w:tr w:rsidR="003F0292" w:rsidRPr="003745B0" w:rsidTr="003B41A5">
        <w:trPr>
          <w:trHeight w:val="280"/>
          <w:jc w:val="center"/>
        </w:trPr>
        <w:tc>
          <w:tcPr>
            <w:tcW w:w="197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F0292" w:rsidRPr="003B41A5" w:rsidRDefault="003F0292" w:rsidP="002F538D">
            <w:pPr>
              <w:rPr>
                <w:rFonts w:ascii="Arial" w:hAnsi="Arial" w:cs="Arial"/>
                <w:b w:val="0"/>
                <w:spacing w:val="20"/>
                <w:sz w:val="20"/>
                <w:szCs w:val="20"/>
              </w:rPr>
            </w:pP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>VERBALE N°</w:t>
            </w:r>
          </w:p>
        </w:tc>
        <w:tc>
          <w:tcPr>
            <w:tcW w:w="761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B41A5" w:rsidRDefault="003F0292" w:rsidP="00D262DB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1</w:t>
            </w:r>
            <w:r w:rsidR="00D262DB">
              <w:rPr>
                <w:rFonts w:ascii="Arial" w:hAnsi="Arial" w:cs="Arial"/>
                <w:spacing w:val="20"/>
                <w:sz w:val="20"/>
                <w:szCs w:val="20"/>
              </w:rPr>
              <w:t>3</w:t>
            </w:r>
          </w:p>
        </w:tc>
      </w:tr>
      <w:tr w:rsidR="003F0292" w:rsidRPr="003745B0" w:rsidTr="003B41A5">
        <w:trPr>
          <w:trHeight w:val="280"/>
          <w:jc w:val="center"/>
        </w:trPr>
        <w:tc>
          <w:tcPr>
            <w:tcW w:w="1975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F0292" w:rsidRPr="003B41A5" w:rsidRDefault="003F0292" w:rsidP="002F538D">
            <w:pPr>
              <w:rPr>
                <w:rFonts w:ascii="Arial" w:hAnsi="Arial" w:cs="Arial"/>
                <w:b w:val="0"/>
                <w:spacing w:val="20"/>
                <w:sz w:val="20"/>
                <w:szCs w:val="20"/>
              </w:rPr>
            </w:pP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>DATA ED ORA</w:t>
            </w:r>
          </w:p>
        </w:tc>
        <w:tc>
          <w:tcPr>
            <w:tcW w:w="761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B41A5" w:rsidRDefault="003F0292" w:rsidP="00D262DB">
            <w:pPr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2</w:t>
            </w:r>
            <w:r w:rsidR="00D262DB">
              <w:rPr>
                <w:rFonts w:ascii="Arial" w:hAnsi="Arial" w:cs="Arial"/>
                <w:spacing w:val="20"/>
                <w:sz w:val="20"/>
                <w:szCs w:val="20"/>
              </w:rPr>
              <w:t>7 novembre</w:t>
            </w:r>
            <w:r w:rsidRPr="003B41A5">
              <w:rPr>
                <w:rFonts w:ascii="Arial" w:hAnsi="Arial" w:cs="Arial"/>
                <w:spacing w:val="20"/>
                <w:sz w:val="20"/>
                <w:szCs w:val="20"/>
              </w:rPr>
              <w:t xml:space="preserve"> 2013 – ore 1</w:t>
            </w:r>
            <w:r w:rsidR="00D262DB">
              <w:rPr>
                <w:rFonts w:ascii="Arial" w:hAnsi="Arial" w:cs="Arial"/>
                <w:spacing w:val="20"/>
                <w:sz w:val="20"/>
                <w:szCs w:val="20"/>
              </w:rPr>
              <w:t>8</w:t>
            </w:r>
            <w:r w:rsidRPr="003B41A5">
              <w:rPr>
                <w:rFonts w:ascii="Arial" w:hAnsi="Arial" w:cs="Arial"/>
                <w:spacing w:val="20"/>
                <w:sz w:val="20"/>
                <w:szCs w:val="20"/>
              </w:rPr>
              <w:t>.</w:t>
            </w:r>
            <w:r w:rsidR="00D262DB">
              <w:rPr>
                <w:rFonts w:ascii="Arial" w:hAnsi="Arial" w:cs="Arial"/>
                <w:spacing w:val="20"/>
                <w:sz w:val="20"/>
                <w:szCs w:val="20"/>
              </w:rPr>
              <w:t>00</w:t>
            </w:r>
          </w:p>
        </w:tc>
      </w:tr>
      <w:tr w:rsidR="003F0292" w:rsidRPr="0035612B" w:rsidTr="003B41A5">
        <w:trPr>
          <w:trHeight w:val="280"/>
          <w:jc w:val="center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F0292" w:rsidRPr="003B41A5" w:rsidRDefault="003F0292" w:rsidP="002F538D">
            <w:pPr>
              <w:rPr>
                <w:rFonts w:ascii="Arial" w:hAnsi="Arial" w:cs="Arial"/>
                <w:b w:val="0"/>
                <w:spacing w:val="20"/>
                <w:sz w:val="20"/>
                <w:szCs w:val="20"/>
              </w:rPr>
            </w:pP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>SEDE</w:t>
            </w:r>
            <w:r w:rsidRPr="003B41A5">
              <w:rPr>
                <w:rFonts w:ascii="Arial" w:hAnsi="Arial" w:cs="Arial"/>
                <w:b w:val="0"/>
                <w:spacing w:val="20"/>
                <w:sz w:val="20"/>
                <w:szCs w:val="20"/>
              </w:rPr>
              <w:tab/>
            </w:r>
          </w:p>
        </w:tc>
        <w:tc>
          <w:tcPr>
            <w:tcW w:w="7610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8D389B" w:rsidRDefault="003F0292" w:rsidP="00BC73A6">
            <w:pPr>
              <w:spacing w:before="60" w:after="60" w:line="240" w:lineRule="atLeast"/>
              <w:jc w:val="both"/>
              <w:rPr>
                <w:rFonts w:ascii="Arial" w:hAnsi="Arial" w:cs="Arial"/>
                <w:bCs/>
                <w:sz w:val="20"/>
                <w:lang w:val="it-IT"/>
              </w:rPr>
            </w:pPr>
            <w:r w:rsidRPr="008D389B">
              <w:rPr>
                <w:rFonts w:ascii="Arial" w:hAnsi="Arial" w:cs="Arial"/>
                <w:bCs/>
                <w:sz w:val="20"/>
                <w:lang w:val="it-IT"/>
              </w:rPr>
              <w:t xml:space="preserve">Via Belenzani 12, Trento – </w:t>
            </w:r>
            <w:r w:rsidR="00BC73A6">
              <w:rPr>
                <w:rFonts w:ascii="Arial" w:hAnsi="Arial" w:cs="Arial"/>
                <w:bCs/>
                <w:sz w:val="20"/>
                <w:lang w:val="it-IT"/>
              </w:rPr>
              <w:t>Video Conferenza</w:t>
            </w:r>
          </w:p>
        </w:tc>
      </w:tr>
    </w:tbl>
    <w:p w:rsidR="003F0292" w:rsidRPr="002F0E68" w:rsidRDefault="003F0292" w:rsidP="00200E11">
      <w:pPr>
        <w:spacing w:line="360" w:lineRule="auto"/>
        <w:jc w:val="both"/>
        <w:rPr>
          <w:rFonts w:ascii="Georgia" w:hAnsi="Georgia"/>
          <w:sz w:val="24"/>
          <w:szCs w:val="24"/>
          <w:lang w:val="it-IT"/>
        </w:rPr>
      </w:pPr>
    </w:p>
    <w:tbl>
      <w:tblPr>
        <w:tblW w:w="9669" w:type="dxa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21"/>
        <w:gridCol w:w="2346"/>
        <w:gridCol w:w="3202"/>
      </w:tblGrid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GIACINTO DELLA CANANEA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Presidente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ALBERTO BACCINI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 esterno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MARIA BERGAMIN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 esterno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7419D4" w:rsidP="00741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AG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ANDREA CARANTI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Componente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</w:tr>
      <w:tr w:rsidR="003F0292" w:rsidRPr="003745B0" w:rsidTr="003745B0">
        <w:tc>
          <w:tcPr>
            <w:tcW w:w="4121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>ROCCO MICCIOLO</w:t>
            </w: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3F0292" w:rsidP="00950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5B0">
              <w:rPr>
                <w:rFonts w:ascii="Arial" w:hAnsi="Arial" w:cs="Arial"/>
                <w:b w:val="0"/>
                <w:sz w:val="20"/>
                <w:szCs w:val="20"/>
              </w:rPr>
              <w:t xml:space="preserve">Componente </w:t>
            </w:r>
          </w:p>
        </w:tc>
        <w:tc>
          <w:tcPr>
            <w:tcW w:w="32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0292" w:rsidRPr="003745B0" w:rsidRDefault="007419D4" w:rsidP="007419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AG</w:t>
            </w:r>
          </w:p>
        </w:tc>
      </w:tr>
    </w:tbl>
    <w:p w:rsidR="003F0292" w:rsidRPr="00B43ED4" w:rsidRDefault="003F0292" w:rsidP="00200E11">
      <w:pPr>
        <w:rPr>
          <w:rFonts w:ascii="Georgia" w:hAnsi="Georgia"/>
          <w:sz w:val="24"/>
          <w:szCs w:val="24"/>
        </w:rPr>
      </w:pPr>
    </w:p>
    <w:p w:rsidR="00D262DB" w:rsidRDefault="00D262DB" w:rsidP="00D262DB">
      <w:pPr>
        <w:pStyle w:val="Intestazione"/>
        <w:spacing w:before="120" w:after="120"/>
        <w:ind w:right="108"/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Il Nucleo di Valutazione è stato regolarmente convocato dal Presidente per il 27 novembre 2013, alle o</w:t>
      </w:r>
      <w:r w:rsidR="009633B1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re 18. La riunione si è svolta tramite 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videoconferenza, con la partecipazione, oltre al Presidente, dei </w:t>
      </w:r>
      <w:r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p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rofessori Alberto Baccini e Andrea Caranti, che funge da segretario</w:t>
      </w:r>
      <w:r w:rsidR="00B703D7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.</w:t>
      </w:r>
    </w:p>
    <w:p w:rsidR="00624685" w:rsidRDefault="00624685" w:rsidP="00D262DB">
      <w:pPr>
        <w:pStyle w:val="Intestazione"/>
        <w:spacing w:before="120" w:after="120"/>
        <w:ind w:right="108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 xml:space="preserve">All’unanimità si decide di integrare l’Ordine del giorno con l’aggiunta di un punto 2 Varie ed Eventuali. </w:t>
      </w:r>
    </w:p>
    <w:p w:rsidR="00624685" w:rsidRDefault="00624685" w:rsidP="00D262DB">
      <w:pPr>
        <w:pStyle w:val="Intestazione"/>
        <w:spacing w:before="120" w:after="120"/>
        <w:ind w:right="108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Pertanto l'Ordine del giorno risulta:</w:t>
      </w:r>
    </w:p>
    <w:p w:rsidR="00C847D7" w:rsidRPr="00624685" w:rsidRDefault="00C847D7" w:rsidP="00B703D7">
      <w:pPr>
        <w:rPr>
          <w:rFonts w:ascii="Arial" w:hAnsi="Arial" w:cs="Arial"/>
          <w:sz w:val="20"/>
          <w:szCs w:val="20"/>
          <w:u w:val="single"/>
          <w:lang w:val="it-IT"/>
        </w:rPr>
      </w:pPr>
    </w:p>
    <w:p w:rsidR="00B703D7" w:rsidRPr="00624685" w:rsidRDefault="00B703D7" w:rsidP="00B703D7">
      <w:pPr>
        <w:rPr>
          <w:rFonts w:ascii="Arial" w:hAnsi="Arial" w:cs="Arial"/>
          <w:sz w:val="20"/>
          <w:szCs w:val="20"/>
          <w:lang w:val="it-IT"/>
        </w:rPr>
      </w:pPr>
      <w:r w:rsidRPr="00624685">
        <w:rPr>
          <w:rFonts w:ascii="Arial" w:hAnsi="Arial" w:cs="Arial"/>
          <w:sz w:val="20"/>
          <w:szCs w:val="20"/>
          <w:u w:val="single"/>
          <w:lang w:val="it-IT"/>
        </w:rPr>
        <w:t>Ordine del giorno</w:t>
      </w:r>
    </w:p>
    <w:p w:rsidR="00B703D7" w:rsidRPr="00624685" w:rsidRDefault="00B703D7" w:rsidP="00B703D7">
      <w:pPr>
        <w:jc w:val="both"/>
        <w:rPr>
          <w:rFonts w:ascii="Georgia" w:hAnsi="Georgia"/>
          <w:sz w:val="24"/>
          <w:szCs w:val="24"/>
          <w:lang w:val="it-IT"/>
        </w:rPr>
      </w:pPr>
    </w:p>
    <w:p w:rsidR="00B703D7" w:rsidRDefault="00B703D7" w:rsidP="00B703D7">
      <w:pPr>
        <w:numPr>
          <w:ilvl w:val="0"/>
          <w:numId w:val="4"/>
        </w:numPr>
        <w:tabs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“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Monitoraggio del Sistema di valutazione della </w:t>
      </w:r>
      <w:r w:rsidRPr="00D262DB">
        <w:rPr>
          <w:rFonts w:ascii="Arial" w:eastAsia="Calibri" w:hAnsi="Arial" w:cs="Arial"/>
          <w:b w:val="0"/>
          <w:i/>
          <w:iCs/>
          <w:color w:val="auto"/>
          <w:sz w:val="20"/>
          <w:szCs w:val="20"/>
          <w:lang w:val="it-IT" w:eastAsia="it-IT"/>
        </w:rPr>
        <w:t xml:space="preserve">performance 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individuale</w:t>
      </w: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.</w:t>
      </w:r>
      <w:r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”</w:t>
      </w:r>
    </w:p>
    <w:p w:rsidR="00B703D7" w:rsidRDefault="00B703D7" w:rsidP="00B703D7">
      <w:pPr>
        <w:numPr>
          <w:ilvl w:val="0"/>
          <w:numId w:val="4"/>
        </w:numPr>
        <w:tabs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>
        <w:rPr>
          <w:rFonts w:ascii="Arial" w:hAnsi="Arial" w:cs="Arial"/>
          <w:b w:val="0"/>
          <w:sz w:val="20"/>
          <w:lang w:val="it-IT"/>
        </w:rPr>
        <w:t xml:space="preserve">“ </w:t>
      </w:r>
      <w:r w:rsidRPr="003045F5">
        <w:rPr>
          <w:rFonts w:ascii="Arial" w:hAnsi="Arial" w:cs="Arial"/>
          <w:b w:val="0"/>
          <w:sz w:val="20"/>
          <w:lang w:val="it-IT"/>
        </w:rPr>
        <w:t>Varie ed eventuali</w:t>
      </w:r>
      <w:r w:rsidRPr="009137DB">
        <w:rPr>
          <w:rFonts w:ascii="Arial" w:hAnsi="Arial" w:cs="Arial"/>
          <w:b w:val="0"/>
          <w:sz w:val="20"/>
          <w:lang w:val="it-IT"/>
        </w:rPr>
        <w:t>”.</w:t>
      </w:r>
    </w:p>
    <w:p w:rsidR="00B703D7" w:rsidRDefault="00B703D7" w:rsidP="00D262DB">
      <w:pPr>
        <w:pStyle w:val="Intestazione"/>
        <w:spacing w:before="120" w:after="120"/>
        <w:ind w:right="108"/>
        <w:jc w:val="both"/>
        <w:rPr>
          <w:rFonts w:ascii="Arial" w:hAnsi="Arial" w:cs="Arial"/>
          <w:b w:val="0"/>
          <w:sz w:val="20"/>
          <w:lang w:val="it-IT"/>
        </w:rPr>
      </w:pPr>
    </w:p>
    <w:p w:rsidR="00D262DB" w:rsidRDefault="00D262DB" w:rsidP="00D262DB">
      <w:pPr>
        <w:spacing w:before="120" w:after="120"/>
        <w:ind w:right="108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  <w:r w:rsidRPr="00D262DB">
        <w:rPr>
          <w:rFonts w:ascii="Arial" w:hAnsi="Arial" w:cs="Arial"/>
          <w:b w:val="0"/>
          <w:sz w:val="20"/>
          <w:lang w:val="it-IT"/>
        </w:rPr>
        <w:t>Si passa alla trattazione del</w:t>
      </w:r>
      <w:r w:rsidRPr="00D262DB">
        <w:rPr>
          <w:rFonts w:ascii="Arial" w:hAnsi="Arial" w:cs="Arial"/>
          <w:sz w:val="20"/>
          <w:lang w:val="it-IT"/>
        </w:rPr>
        <w:t xml:space="preserve"> </w:t>
      </w:r>
      <w:r w:rsidRPr="00D262DB">
        <w:rPr>
          <w:rFonts w:ascii="Arial" w:hAnsi="Arial" w:cs="Arial"/>
          <w:sz w:val="20"/>
          <w:u w:val="single"/>
          <w:lang w:val="it-IT"/>
        </w:rPr>
        <w:t>punto  1  all’ordine del giorno</w:t>
      </w:r>
      <w:r w:rsidRPr="00D262DB">
        <w:rPr>
          <w:rFonts w:ascii="Arial" w:hAnsi="Arial" w:cs="Arial"/>
          <w:sz w:val="20"/>
          <w:lang w:val="it-IT"/>
        </w:rPr>
        <w:t xml:space="preserve">: </w:t>
      </w:r>
      <w:r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“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Monitoraggio del Sistema di valutazione della </w:t>
      </w:r>
      <w:r w:rsidRPr="00D262DB">
        <w:rPr>
          <w:rFonts w:ascii="Arial" w:eastAsia="Calibri" w:hAnsi="Arial" w:cs="Arial"/>
          <w:b w:val="0"/>
          <w:i/>
          <w:iCs/>
          <w:color w:val="auto"/>
          <w:sz w:val="20"/>
          <w:szCs w:val="20"/>
          <w:lang w:val="it-IT" w:eastAsia="it-IT"/>
        </w:rPr>
        <w:t xml:space="preserve">performance 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individuale</w:t>
      </w:r>
      <w:r w:rsidRPr="0090707A"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.</w:t>
      </w:r>
      <w:r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  <w:t>”</w:t>
      </w:r>
    </w:p>
    <w:p w:rsidR="00D262DB" w:rsidRDefault="00D262DB" w:rsidP="00D262DB">
      <w:pPr>
        <w:pStyle w:val="Intestazione"/>
        <w:spacing w:before="120" w:after="120"/>
        <w:ind w:right="108"/>
        <w:jc w:val="both"/>
        <w:rPr>
          <w:rFonts w:ascii="Arial" w:hAnsi="Arial" w:cs="Arial"/>
          <w:b w:val="0"/>
          <w:color w:val="auto"/>
          <w:sz w:val="20"/>
          <w:szCs w:val="20"/>
          <w:lang w:val="it-IT" w:eastAsia="it-IT"/>
        </w:rPr>
      </w:pPr>
    </w:p>
    <w:p w:rsidR="00D262DB" w:rsidRPr="00D262DB" w:rsidRDefault="00D262DB" w:rsidP="00D262DB">
      <w:pPr>
        <w:spacing w:before="120" w:after="120"/>
        <w:jc w:val="center"/>
        <w:rPr>
          <w:rFonts w:ascii="Arial" w:hAnsi="Arial" w:cs="Arial"/>
          <w:sz w:val="20"/>
          <w:lang w:val="it-IT"/>
        </w:rPr>
      </w:pPr>
      <w:r w:rsidRPr="00D262DB">
        <w:rPr>
          <w:rFonts w:ascii="Arial" w:hAnsi="Arial" w:cs="Arial"/>
          <w:sz w:val="20"/>
          <w:lang w:val="it-IT"/>
        </w:rPr>
        <w:t>IL NUCLEO DI VALUTAZIONE</w:t>
      </w:r>
    </w:p>
    <w:p w:rsidR="00D262DB" w:rsidRPr="00D262DB" w:rsidRDefault="00D262DB" w:rsidP="00D262DB">
      <w:pPr>
        <w:pStyle w:val="Paragrafoelenco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</w:p>
    <w:p w:rsidR="00D262DB" w:rsidRPr="00D262DB" w:rsidRDefault="00D262DB" w:rsidP="00FD0895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685C61">
        <w:rPr>
          <w:rFonts w:ascii="Arial" w:eastAsia="Calibri" w:hAnsi="Arial" w:cs="Arial"/>
          <w:b w:val="0"/>
          <w:color w:val="auto"/>
          <w:sz w:val="20"/>
          <w:szCs w:val="20"/>
          <w:u w:val="single"/>
          <w:lang w:val="it-IT" w:eastAsia="it-IT"/>
        </w:rPr>
        <w:t>visti i criteri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, le procedure e i profili rilevanti definiti nella delibera CIVIT n. 23/2013 art.7, in particolare nell'allegato III;</w:t>
      </w:r>
    </w:p>
    <w:p w:rsidR="00D262DB" w:rsidRPr="00D262DB" w:rsidRDefault="00D262DB" w:rsidP="00D262DB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685C61">
        <w:rPr>
          <w:rFonts w:ascii="Arial" w:eastAsia="Calibri" w:hAnsi="Arial" w:cs="Arial"/>
          <w:b w:val="0"/>
          <w:color w:val="auto"/>
          <w:sz w:val="20"/>
          <w:szCs w:val="20"/>
          <w:u w:val="single"/>
          <w:lang w:val="it-IT" w:eastAsia="it-IT"/>
        </w:rPr>
        <w:t>ritenuto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che il termine previsto dall'articolo 7 della suddetta delibera della CIVIT sia di tipo ordinatorio; </w:t>
      </w:r>
    </w:p>
    <w:p w:rsidR="00D262DB" w:rsidRPr="00D262DB" w:rsidRDefault="00D262DB" w:rsidP="00D262DB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685C61">
        <w:rPr>
          <w:rFonts w:ascii="Arial" w:eastAsia="Calibri" w:hAnsi="Arial" w:cs="Arial"/>
          <w:b w:val="0"/>
          <w:color w:val="auto"/>
          <w:sz w:val="20"/>
          <w:szCs w:val="20"/>
          <w:u w:val="single"/>
          <w:lang w:val="it-IT" w:eastAsia="it-IT"/>
        </w:rPr>
        <w:t>preso atto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dell'invarianza dei criteri, delle procedure e dei profili rilevanti definiti nella suddetta delibera della CIVIT, </w:t>
      </w:r>
      <w:r w:rsidR="00685C61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malgrado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il trasferimento delle competenze dalla CIVIT all'Agenzia nazionale per la valutazione delle università e della ricerca (ANVUR), come risultante dal comunicato </w:t>
      </w:r>
      <w:r w:rsidR="00437CA0"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pubblicato sul sito </w:t>
      </w:r>
      <w:r w:rsidR="0035612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ANVUR</w:t>
      </w:r>
      <w:bookmarkStart w:id="0" w:name="_GoBack"/>
      <w:bookmarkEnd w:id="0"/>
      <w:r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 </w:t>
      </w:r>
      <w:r w:rsidR="007A2C53"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l’11 novembre 2013</w:t>
      </w:r>
      <w:r w:rsidR="00437CA0"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;</w:t>
      </w:r>
    </w:p>
    <w:p w:rsidR="00D262DB" w:rsidRPr="00D262DB" w:rsidRDefault="00D262DB" w:rsidP="00836A55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685C61">
        <w:rPr>
          <w:rFonts w:ascii="Arial" w:eastAsia="Calibri" w:hAnsi="Arial" w:cs="Arial"/>
          <w:b w:val="0"/>
          <w:color w:val="auto"/>
          <w:sz w:val="20"/>
          <w:szCs w:val="20"/>
          <w:u w:val="single"/>
          <w:lang w:val="it-IT" w:eastAsia="it-IT"/>
        </w:rPr>
        <w:lastRenderedPageBreak/>
        <w:t>preso atto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del documento sulla premialità, tempestivamente trasmesso dall'amministrazione dell'Università;</w:t>
      </w:r>
    </w:p>
    <w:p w:rsidR="00D262DB" w:rsidRDefault="00685C61" w:rsidP="00E2545E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685C61">
        <w:rPr>
          <w:rFonts w:ascii="Arial" w:eastAsia="Calibri" w:hAnsi="Arial" w:cs="Arial"/>
          <w:b w:val="0"/>
          <w:color w:val="auto"/>
          <w:sz w:val="20"/>
          <w:szCs w:val="20"/>
          <w:u w:val="single"/>
          <w:lang w:val="it-IT" w:eastAsia="it-IT"/>
        </w:rPr>
        <w:t>ritenuto</w:t>
      </w:r>
      <w:r w:rsidRPr="00685C61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, alla luce dei criteri e dei profili rilevanti definiti dalla suddetta delibera della CIVIT, di dover acquisire ulteriori elementi di giudizio, anche mediante un'apposita audizione, al fine di esprimere una ponderata valutazione</w:t>
      </w:r>
      <w:r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;</w:t>
      </w:r>
    </w:p>
    <w:p w:rsidR="00D07635" w:rsidRPr="00D07635" w:rsidRDefault="00D07635" w:rsidP="00D07635">
      <w:pPr>
        <w:ind w:left="539"/>
        <w:jc w:val="both"/>
        <w:rPr>
          <w:rFonts w:ascii="Arial" w:hAnsi="Arial" w:cs="Arial"/>
          <w:b w:val="0"/>
          <w:sz w:val="20"/>
          <w:lang w:val="it-IT"/>
        </w:rPr>
      </w:pPr>
      <w:r w:rsidRPr="00D07635">
        <w:rPr>
          <w:rFonts w:ascii="Arial" w:hAnsi="Arial" w:cs="Arial"/>
          <w:b w:val="0"/>
          <w:sz w:val="20"/>
          <w:lang w:val="it-IT"/>
        </w:rPr>
        <w:t>Con voto unanime favorevole;</w:t>
      </w:r>
    </w:p>
    <w:p w:rsidR="00D07635" w:rsidRPr="00D262DB" w:rsidRDefault="00D07635" w:rsidP="00D262DB">
      <w:pPr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</w:p>
    <w:p w:rsidR="00D07635" w:rsidRPr="00D07635" w:rsidRDefault="00D07635" w:rsidP="00D07635">
      <w:pPr>
        <w:pStyle w:val="Intestazione"/>
        <w:spacing w:before="120" w:after="120"/>
        <w:ind w:left="567" w:right="108"/>
        <w:jc w:val="center"/>
        <w:rPr>
          <w:rFonts w:ascii="Arial" w:hAnsi="Arial" w:cs="Arial"/>
          <w:b w:val="0"/>
          <w:sz w:val="20"/>
          <w:lang w:val="it-IT"/>
        </w:rPr>
      </w:pPr>
      <w:r w:rsidRPr="00D07635">
        <w:rPr>
          <w:rFonts w:ascii="Arial" w:hAnsi="Arial" w:cs="Arial"/>
          <w:b w:val="0"/>
          <w:sz w:val="20"/>
          <w:lang w:val="it-IT"/>
        </w:rPr>
        <w:t>Delibera</w:t>
      </w:r>
    </w:p>
    <w:p w:rsidR="00D262DB" w:rsidRPr="00D262DB" w:rsidRDefault="00D262DB" w:rsidP="009137DB">
      <w:pPr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</w:p>
    <w:p w:rsidR="00D262DB" w:rsidRPr="00D07635" w:rsidRDefault="00D262DB" w:rsidP="009137DB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D07635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Attesta il tempestivo invio del documento sulla premialità da parte dell'amministrazione e la corrispondenza, nelle linee essenziali, del suddetto documento con il Piano delle performance approvato </w:t>
      </w:r>
      <w:r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dal </w:t>
      </w:r>
      <w:r w:rsidR="00437CA0"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Consiglio di amministrazione </w:t>
      </w:r>
      <w:r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il</w:t>
      </w:r>
      <w:r w:rsidR="00437CA0" w:rsidRPr="001B7369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23 marzo 2011;</w:t>
      </w:r>
    </w:p>
    <w:p w:rsidR="00D262DB" w:rsidRPr="00D262DB" w:rsidRDefault="00D262DB" w:rsidP="009137DB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Ritiene che una più ponderata </w:t>
      </w:r>
      <w:r w:rsidR="00D42C1A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verifica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possa essere effettuata soltanto sulla base di ulteriori elementi di giudizio, da acquisire anche mediante un'audizione, da svolgersi nel corso della riunione del Nucleo di Valutazione che si terrà i</w:t>
      </w:r>
      <w:r w:rsidR="00D07635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l 12 dicembre 2013;</w:t>
      </w:r>
    </w:p>
    <w:p w:rsidR="00D262DB" w:rsidRPr="00D262DB" w:rsidRDefault="00D262DB" w:rsidP="009137DB">
      <w:pPr>
        <w:jc w:val="both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Dà mandato al Presidente, a tal fine, di prendere gli opportuni accordi con il Direttore generale</w:t>
      </w:r>
      <w:r w:rsidR="00D07635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e con i dirigenti interessati.</w:t>
      </w: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 xml:space="preserve"> </w:t>
      </w:r>
    </w:p>
    <w:p w:rsidR="00D262DB" w:rsidRPr="00D262DB" w:rsidRDefault="00D262DB" w:rsidP="00D262DB">
      <w:pPr>
        <w:pStyle w:val="Paragrafoelenco"/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</w:pPr>
    </w:p>
    <w:p w:rsidR="003F0292" w:rsidRPr="0089439B" w:rsidRDefault="003F0292" w:rsidP="003045F5">
      <w:pPr>
        <w:ind w:firstLine="1080"/>
        <w:jc w:val="both"/>
        <w:rPr>
          <w:rFonts w:ascii="Arial" w:hAnsi="Arial" w:cs="Arial"/>
          <w:b w:val="0"/>
          <w:sz w:val="20"/>
          <w:lang w:val="it-IT"/>
        </w:rPr>
      </w:pPr>
    </w:p>
    <w:p w:rsidR="003F0292" w:rsidRDefault="003F0292" w:rsidP="003045F5">
      <w:pPr>
        <w:ind w:firstLine="1080"/>
        <w:jc w:val="both"/>
        <w:rPr>
          <w:rFonts w:ascii="Arial" w:hAnsi="Arial" w:cs="Arial"/>
          <w:sz w:val="20"/>
          <w:lang w:val="it-IT"/>
        </w:rPr>
      </w:pPr>
      <w:r w:rsidRPr="003045F5">
        <w:rPr>
          <w:rFonts w:ascii="Arial" w:hAnsi="Arial" w:cs="Arial"/>
          <w:b w:val="0"/>
          <w:sz w:val="20"/>
          <w:lang w:val="it-IT"/>
        </w:rPr>
        <w:t xml:space="preserve">Si passa alla trattazione del </w:t>
      </w:r>
      <w:r w:rsidR="00437CA0">
        <w:rPr>
          <w:rFonts w:ascii="Arial" w:hAnsi="Arial" w:cs="Arial"/>
          <w:sz w:val="20"/>
          <w:u w:val="single"/>
          <w:lang w:val="it-IT"/>
        </w:rPr>
        <w:t>punto  2</w:t>
      </w:r>
      <w:r w:rsidRPr="001D5A91">
        <w:rPr>
          <w:rFonts w:ascii="Arial" w:hAnsi="Arial" w:cs="Arial"/>
          <w:bCs/>
          <w:sz w:val="20"/>
          <w:u w:val="single"/>
          <w:lang w:val="it-IT"/>
        </w:rPr>
        <w:t xml:space="preserve"> </w:t>
      </w:r>
      <w:r w:rsidRPr="001D5A91">
        <w:rPr>
          <w:rFonts w:ascii="Arial" w:hAnsi="Arial" w:cs="Arial"/>
          <w:sz w:val="20"/>
          <w:u w:val="single"/>
          <w:lang w:val="it-IT"/>
        </w:rPr>
        <w:t xml:space="preserve"> all’ordine del giorno</w:t>
      </w:r>
      <w:r w:rsidRPr="003045F5">
        <w:rPr>
          <w:rFonts w:ascii="Arial" w:hAnsi="Arial" w:cs="Arial"/>
          <w:b w:val="0"/>
          <w:sz w:val="20"/>
          <w:lang w:val="it-IT"/>
        </w:rPr>
        <w:t xml:space="preserve">: </w:t>
      </w:r>
      <w:r w:rsidRPr="003045F5">
        <w:rPr>
          <w:rFonts w:ascii="Arial" w:hAnsi="Arial" w:cs="Arial"/>
          <w:sz w:val="20"/>
          <w:lang w:val="it-IT"/>
        </w:rPr>
        <w:t>“</w:t>
      </w:r>
      <w:r w:rsidRPr="003045F5">
        <w:rPr>
          <w:rFonts w:ascii="Arial" w:hAnsi="Arial" w:cs="Arial"/>
          <w:b w:val="0"/>
          <w:sz w:val="20"/>
          <w:lang w:val="it-IT"/>
        </w:rPr>
        <w:t>Varie ed eventuali</w:t>
      </w:r>
      <w:r w:rsidRPr="003045F5">
        <w:rPr>
          <w:rFonts w:ascii="Arial" w:hAnsi="Arial" w:cs="Arial"/>
          <w:sz w:val="20"/>
          <w:lang w:val="it-IT"/>
        </w:rPr>
        <w:t>”.</w:t>
      </w:r>
    </w:p>
    <w:p w:rsidR="00437CA0" w:rsidRDefault="00437CA0" w:rsidP="003045F5">
      <w:pPr>
        <w:ind w:firstLine="1080"/>
        <w:jc w:val="both"/>
        <w:rPr>
          <w:rFonts w:ascii="Arial" w:hAnsi="Arial" w:cs="Arial"/>
          <w:sz w:val="20"/>
          <w:lang w:val="it-IT"/>
        </w:rPr>
      </w:pPr>
    </w:p>
    <w:p w:rsidR="00437CA0" w:rsidRPr="003045F5" w:rsidRDefault="00437CA0" w:rsidP="00836A55">
      <w:pPr>
        <w:jc w:val="both"/>
        <w:rPr>
          <w:rFonts w:ascii="Arial" w:hAnsi="Arial" w:cs="Arial"/>
          <w:b w:val="0"/>
          <w:sz w:val="20"/>
          <w:lang w:val="it-IT"/>
        </w:rPr>
      </w:pPr>
      <w:r w:rsidRPr="00D262DB">
        <w:rPr>
          <w:rFonts w:ascii="Arial" w:eastAsia="Calibri" w:hAnsi="Arial" w:cs="Arial"/>
          <w:b w:val="0"/>
          <w:color w:val="auto"/>
          <w:sz w:val="20"/>
          <w:szCs w:val="20"/>
          <w:lang w:val="it-IT" w:eastAsia="it-IT"/>
        </w:rPr>
        <w:t>su proposta del Presidente, il Nucleo di Valutazione chiede all'Ufficio di supporto di predisporre prima della riunione del 12 dicembre un calendario degli adempimenti che il Nucleo è tenuto ad effettuare, anche al fine di valutare la congruità delle dotazioni dell'Ufficio di supporto rispetto ai compiti da svolgere.</w:t>
      </w:r>
    </w:p>
    <w:p w:rsidR="003F0292" w:rsidRPr="003045F5" w:rsidRDefault="003F0292" w:rsidP="003045F5">
      <w:pPr>
        <w:ind w:firstLine="1080"/>
        <w:jc w:val="both"/>
        <w:rPr>
          <w:rFonts w:ascii="Arial" w:hAnsi="Arial" w:cs="Arial"/>
          <w:b w:val="0"/>
          <w:sz w:val="20"/>
          <w:lang w:val="it-IT"/>
        </w:rPr>
      </w:pPr>
    </w:p>
    <w:p w:rsidR="003F0292" w:rsidRPr="003045F5" w:rsidRDefault="003F0292" w:rsidP="00437CA0">
      <w:pPr>
        <w:jc w:val="both"/>
        <w:rPr>
          <w:rFonts w:ascii="Arial" w:hAnsi="Arial" w:cs="Arial"/>
          <w:sz w:val="20"/>
          <w:lang w:val="it-IT"/>
        </w:rPr>
      </w:pPr>
      <w:r w:rsidRPr="003045F5">
        <w:rPr>
          <w:rFonts w:ascii="Arial" w:hAnsi="Arial" w:cs="Arial"/>
          <w:b w:val="0"/>
          <w:sz w:val="20"/>
          <w:lang w:val="it-IT"/>
        </w:rPr>
        <w:t xml:space="preserve">Null’altro essendo all’ordine del giorno, </w:t>
      </w:r>
      <w:r w:rsidRPr="003045F5">
        <w:rPr>
          <w:rFonts w:ascii="Arial" w:hAnsi="Arial" w:cs="Arial"/>
          <w:b w:val="0"/>
          <w:sz w:val="20"/>
          <w:u w:val="single"/>
          <w:lang w:val="it-IT"/>
        </w:rPr>
        <w:t>il Presidente</w:t>
      </w:r>
      <w:r w:rsidRPr="003045F5">
        <w:rPr>
          <w:rFonts w:ascii="Arial" w:hAnsi="Arial" w:cs="Arial"/>
          <w:b w:val="0"/>
          <w:sz w:val="20"/>
          <w:lang w:val="it-IT"/>
        </w:rPr>
        <w:t xml:space="preserve"> dichiara chiusa la seduta alle ore </w:t>
      </w:r>
      <w:r w:rsidRPr="00F30AA0">
        <w:rPr>
          <w:rFonts w:ascii="Arial" w:hAnsi="Arial" w:cs="Arial"/>
          <w:b w:val="0"/>
          <w:sz w:val="20"/>
          <w:lang w:val="it-IT"/>
        </w:rPr>
        <w:t>18:</w:t>
      </w:r>
      <w:r w:rsidR="00437CA0">
        <w:rPr>
          <w:rFonts w:ascii="Arial" w:hAnsi="Arial" w:cs="Arial"/>
          <w:b w:val="0"/>
          <w:sz w:val="20"/>
          <w:lang w:val="it-IT"/>
        </w:rPr>
        <w:t>50</w:t>
      </w:r>
      <w:r w:rsidRPr="00F30AA0">
        <w:rPr>
          <w:rFonts w:ascii="Arial" w:hAnsi="Arial" w:cs="Arial"/>
          <w:b w:val="0"/>
          <w:sz w:val="20"/>
          <w:lang w:val="it-IT"/>
        </w:rPr>
        <w:t>.</w:t>
      </w:r>
    </w:p>
    <w:p w:rsidR="003F0292" w:rsidRDefault="003F0292" w:rsidP="003045F5">
      <w:pPr>
        <w:pStyle w:val="Testonormale"/>
        <w:ind w:left="567"/>
        <w:jc w:val="both"/>
      </w:pPr>
    </w:p>
    <w:p w:rsidR="003F0292" w:rsidRDefault="003F0292" w:rsidP="003045F5">
      <w:pPr>
        <w:pStyle w:val="Testonormale"/>
        <w:ind w:left="567"/>
        <w:jc w:val="both"/>
      </w:pPr>
    </w:p>
    <w:p w:rsidR="003F0292" w:rsidRDefault="003F0292" w:rsidP="003045F5">
      <w:pPr>
        <w:pStyle w:val="Testonormale"/>
        <w:ind w:left="567"/>
        <w:jc w:val="both"/>
      </w:pPr>
    </w:p>
    <w:p w:rsidR="003F0292" w:rsidRDefault="003F0292" w:rsidP="003045F5">
      <w:pPr>
        <w:pStyle w:val="Testonormale"/>
        <w:ind w:left="567"/>
      </w:pPr>
    </w:p>
    <w:p w:rsidR="003F0292" w:rsidRPr="002F0E68" w:rsidRDefault="003F0292" w:rsidP="002D4CCE">
      <w:pPr>
        <w:pStyle w:val="Intestazione"/>
        <w:spacing w:before="120" w:after="120"/>
        <w:ind w:left="567" w:right="108"/>
        <w:jc w:val="both"/>
        <w:rPr>
          <w:rFonts w:ascii="Arial" w:hAnsi="Arial" w:cs="Arial"/>
          <w:sz w:val="20"/>
          <w:szCs w:val="20"/>
          <w:lang w:val="it-IT"/>
        </w:rPr>
      </w:pPr>
    </w:p>
    <w:sectPr w:rsidR="003F0292" w:rsidRPr="002F0E68" w:rsidSect="00356A3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53" w:rsidRDefault="007A2C53" w:rsidP="002F0E68">
      <w:r>
        <w:separator/>
      </w:r>
    </w:p>
  </w:endnote>
  <w:endnote w:type="continuationSeparator" w:id="0">
    <w:p w:rsidR="007A2C53" w:rsidRDefault="007A2C53" w:rsidP="002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in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53" w:rsidRDefault="007A2C53" w:rsidP="00356A34">
    <w:pPr>
      <w:pStyle w:val="Pidipagina"/>
      <w:pBdr>
        <w:bottom w:val="single" w:sz="4" w:space="1" w:color="auto"/>
      </w:pBdr>
      <w:tabs>
        <w:tab w:val="clear" w:pos="9972"/>
        <w:tab w:val="center" w:pos="5040"/>
        <w:tab w:val="right" w:pos="9356"/>
      </w:tabs>
      <w:jc w:val="right"/>
      <w:rPr>
        <w:rFonts w:ascii="Arial" w:hAnsi="Arial" w:cs="Arial"/>
        <w:b w:val="0"/>
        <w:sz w:val="18"/>
        <w:szCs w:val="18"/>
        <w:lang w:val="it-IT"/>
      </w:rPr>
    </w:pPr>
    <w:r>
      <w:rPr>
        <w:rFonts w:ascii="Arial" w:hAnsi="Arial" w:cs="Arial"/>
        <w:b w:val="0"/>
        <w:sz w:val="18"/>
        <w:szCs w:val="18"/>
        <w:lang w:val="it-IT"/>
      </w:rPr>
      <w:t xml:space="preserve">Pag. </w:t>
    </w:r>
    <w:r>
      <w:rPr>
        <w:rFonts w:ascii="Arial" w:hAnsi="Arial" w:cs="Arial"/>
        <w:b w:val="0"/>
        <w:sz w:val="18"/>
        <w:szCs w:val="18"/>
        <w:lang w:val="it-IT"/>
      </w:rPr>
      <w:fldChar w:fldCharType="begin"/>
    </w:r>
    <w:r>
      <w:rPr>
        <w:rFonts w:ascii="Arial" w:hAnsi="Arial" w:cs="Arial"/>
        <w:b w:val="0"/>
        <w:sz w:val="18"/>
        <w:szCs w:val="18"/>
        <w:lang w:val="it-IT"/>
      </w:rPr>
      <w:instrText xml:space="preserve"> PAGE   \* MERGEFORMAT </w:instrText>
    </w:r>
    <w:r>
      <w:rPr>
        <w:rFonts w:ascii="Arial" w:hAnsi="Arial" w:cs="Arial"/>
        <w:b w:val="0"/>
        <w:sz w:val="18"/>
        <w:szCs w:val="18"/>
        <w:lang w:val="it-IT"/>
      </w:rPr>
      <w:fldChar w:fldCharType="separate"/>
    </w:r>
    <w:r w:rsidR="0035612B">
      <w:rPr>
        <w:rFonts w:ascii="Arial" w:hAnsi="Arial" w:cs="Arial"/>
        <w:b w:val="0"/>
        <w:noProof/>
        <w:sz w:val="18"/>
        <w:szCs w:val="18"/>
        <w:lang w:val="it-IT"/>
      </w:rPr>
      <w:t>2</w:t>
    </w:r>
    <w:r>
      <w:rPr>
        <w:rFonts w:ascii="Arial" w:hAnsi="Arial" w:cs="Arial"/>
        <w:b w:val="0"/>
        <w:sz w:val="18"/>
        <w:szCs w:val="18"/>
        <w:lang w:val="it-IT"/>
      </w:rPr>
      <w:fldChar w:fldCharType="end"/>
    </w:r>
    <w:r>
      <w:rPr>
        <w:rFonts w:ascii="Arial" w:hAnsi="Arial" w:cs="Arial"/>
        <w:b w:val="0"/>
        <w:sz w:val="18"/>
        <w:szCs w:val="18"/>
        <w:lang w:val="it-IT"/>
      </w:rPr>
      <w:t xml:space="preserve"> di </w:t>
    </w:r>
    <w:r>
      <w:fldChar w:fldCharType="begin"/>
    </w:r>
    <w:r w:rsidRPr="00F30AA0">
      <w:rPr>
        <w:lang w:val="it-IT"/>
      </w:rPr>
      <w:instrText xml:space="preserve"> NUMPAGES   \* MERGEFORMAT </w:instrText>
    </w:r>
    <w:r>
      <w:fldChar w:fldCharType="separate"/>
    </w:r>
    <w:r w:rsidR="0035612B" w:rsidRPr="0035612B">
      <w:rPr>
        <w:rFonts w:ascii="Arial" w:hAnsi="Arial" w:cs="Arial"/>
        <w:b w:val="0"/>
        <w:noProof/>
        <w:sz w:val="18"/>
        <w:szCs w:val="18"/>
        <w:lang w:val="it-IT"/>
      </w:rPr>
      <w:t>2</w:t>
    </w:r>
    <w:r>
      <w:rPr>
        <w:rFonts w:ascii="Arial" w:hAnsi="Arial" w:cs="Arial"/>
        <w:b w:val="0"/>
        <w:noProof/>
        <w:sz w:val="18"/>
        <w:szCs w:val="18"/>
        <w:lang w:val="it-IT"/>
      </w:rPr>
      <w:fldChar w:fldCharType="end"/>
    </w:r>
  </w:p>
  <w:p w:rsidR="007A2C53" w:rsidRDefault="007A2C53" w:rsidP="00356A34">
    <w:pPr>
      <w:pStyle w:val="Pidipagina"/>
      <w:tabs>
        <w:tab w:val="clear" w:pos="9972"/>
        <w:tab w:val="center" w:pos="5040"/>
        <w:tab w:val="right" w:pos="9356"/>
      </w:tabs>
      <w:rPr>
        <w:rFonts w:ascii="Arial" w:hAnsi="Arial" w:cs="Arial"/>
        <w:b w:val="0"/>
        <w:sz w:val="18"/>
        <w:szCs w:val="18"/>
        <w:lang w:val="it-IT"/>
      </w:rPr>
    </w:pPr>
  </w:p>
  <w:p w:rsidR="007A2C53" w:rsidRPr="0084147C" w:rsidRDefault="007A2C53" w:rsidP="00356A34">
    <w:pPr>
      <w:pStyle w:val="Pidipagina"/>
      <w:tabs>
        <w:tab w:val="clear" w:pos="9972"/>
        <w:tab w:val="center" w:pos="5040"/>
        <w:tab w:val="right" w:pos="9356"/>
      </w:tabs>
      <w:rPr>
        <w:rFonts w:ascii="Arial" w:hAnsi="Arial" w:cs="Arial"/>
        <w:sz w:val="18"/>
        <w:szCs w:val="18"/>
        <w:lang w:val="it-IT"/>
      </w:rPr>
    </w:pPr>
    <w:r w:rsidRPr="0084147C">
      <w:rPr>
        <w:rFonts w:ascii="Arial" w:hAnsi="Arial" w:cs="Arial"/>
        <w:b w:val="0"/>
        <w:sz w:val="18"/>
        <w:szCs w:val="18"/>
        <w:lang w:val="it-IT"/>
      </w:rPr>
      <w:t>Presidente: prof. Giacinto della Cananea</w:t>
    </w:r>
    <w:r w:rsidRPr="0084147C">
      <w:rPr>
        <w:rFonts w:ascii="Arial" w:hAnsi="Arial" w:cs="Arial"/>
        <w:b w:val="0"/>
        <w:sz w:val="18"/>
        <w:szCs w:val="18"/>
        <w:lang w:val="it-IT"/>
      </w:rPr>
      <w:tab/>
    </w:r>
    <w:r>
      <w:rPr>
        <w:rFonts w:ascii="Arial" w:hAnsi="Arial" w:cs="Arial"/>
        <w:b w:val="0"/>
        <w:sz w:val="18"/>
        <w:szCs w:val="18"/>
        <w:lang w:val="it-IT"/>
      </w:rPr>
      <w:tab/>
    </w:r>
    <w:r w:rsidRPr="0084147C">
      <w:rPr>
        <w:rFonts w:ascii="Arial" w:hAnsi="Arial" w:cs="Arial"/>
        <w:b w:val="0"/>
        <w:sz w:val="18"/>
        <w:szCs w:val="18"/>
        <w:lang w:val="it-IT"/>
      </w:rPr>
      <w:tab/>
      <w:t xml:space="preserve">Segretario: prof. </w:t>
    </w:r>
    <w:r>
      <w:rPr>
        <w:rFonts w:ascii="Arial" w:hAnsi="Arial" w:cs="Arial"/>
        <w:b w:val="0"/>
        <w:sz w:val="18"/>
        <w:szCs w:val="18"/>
        <w:lang w:val="it-IT"/>
      </w:rPr>
      <w:t>Andrea Caranti</w:t>
    </w:r>
  </w:p>
  <w:p w:rsidR="007A2C53" w:rsidRPr="002F0E68" w:rsidRDefault="007A2C53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53" w:rsidRPr="00356A34" w:rsidRDefault="007A2C53" w:rsidP="00356A34">
    <w:pPr>
      <w:tabs>
        <w:tab w:val="center" w:pos="4819"/>
        <w:tab w:val="right" w:pos="9356"/>
      </w:tabs>
      <w:rPr>
        <w:rFonts w:ascii="Arial" w:hAnsi="Arial" w:cs="Arial"/>
        <w:color w:val="auto"/>
        <w:sz w:val="18"/>
        <w:szCs w:val="18"/>
        <w:lang w:val="it-IT" w:eastAsia="it-IT"/>
      </w:rPr>
    </w:pPr>
  </w:p>
  <w:p w:rsidR="007A2C53" w:rsidRPr="00356A34" w:rsidRDefault="007A2C53" w:rsidP="00356A34">
    <w:pPr>
      <w:pBdr>
        <w:top w:val="single" w:sz="4" w:space="1" w:color="auto"/>
      </w:pBdr>
      <w:tabs>
        <w:tab w:val="center" w:pos="4819"/>
        <w:tab w:val="right" w:pos="9356"/>
        <w:tab w:val="right" w:pos="9638"/>
      </w:tabs>
      <w:rPr>
        <w:rFonts w:ascii="Arial" w:hAnsi="Arial" w:cs="Arial"/>
        <w:color w:val="auto"/>
        <w:sz w:val="18"/>
        <w:szCs w:val="18"/>
        <w:lang w:val="it-IT" w:eastAsia="it-IT"/>
      </w:rPr>
    </w:pPr>
  </w:p>
  <w:p w:rsidR="007A2C53" w:rsidRPr="00356A34" w:rsidRDefault="007A2C53" w:rsidP="00356A34">
    <w:pPr>
      <w:tabs>
        <w:tab w:val="center" w:pos="5040"/>
        <w:tab w:val="right" w:pos="9356"/>
        <w:tab w:val="right" w:pos="9638"/>
      </w:tabs>
      <w:rPr>
        <w:rFonts w:ascii="Arial" w:hAnsi="Arial" w:cs="Arial"/>
        <w:color w:val="auto"/>
        <w:sz w:val="18"/>
        <w:szCs w:val="18"/>
        <w:lang w:val="it-IT" w:eastAsia="it-IT"/>
      </w:rPr>
    </w:pP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 xml:space="preserve">Presidente: prof. </w:t>
    </w:r>
    <w:r w:rsidRPr="0084147C">
      <w:rPr>
        <w:rFonts w:ascii="Arial" w:hAnsi="Arial" w:cs="Arial"/>
        <w:b w:val="0"/>
        <w:sz w:val="18"/>
        <w:szCs w:val="18"/>
        <w:lang w:val="it-IT"/>
      </w:rPr>
      <w:t>Giacinto della Cananea</w:t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ab/>
    </w:r>
    <w:r w:rsidRPr="00356A34">
      <w:rPr>
        <w:rFonts w:ascii="Arial" w:hAnsi="Arial" w:cs="Arial"/>
        <w:b w:val="0"/>
        <w:color w:val="auto"/>
        <w:sz w:val="18"/>
        <w:szCs w:val="18"/>
        <w:lang w:val="it-IT" w:eastAsia="it-IT"/>
      </w:rPr>
      <w:tab/>
    </w:r>
    <w:r>
      <w:rPr>
        <w:rFonts w:ascii="Arial" w:hAnsi="Arial" w:cs="Arial"/>
        <w:b w:val="0"/>
        <w:color w:val="auto"/>
        <w:sz w:val="18"/>
        <w:szCs w:val="18"/>
        <w:lang w:val="it-IT" w:eastAsia="it-IT"/>
      </w:rPr>
      <w:t>Segretario: prof. Andrea Caranti</w:t>
    </w:r>
  </w:p>
  <w:p w:rsidR="007A2C53" w:rsidRPr="00356A34" w:rsidRDefault="007A2C5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53" w:rsidRDefault="007A2C53" w:rsidP="002F0E68">
      <w:r>
        <w:separator/>
      </w:r>
    </w:p>
  </w:footnote>
  <w:footnote w:type="continuationSeparator" w:id="0">
    <w:p w:rsidR="007A2C53" w:rsidRDefault="007A2C53" w:rsidP="002F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53" w:rsidRDefault="007A2C53" w:rsidP="00356A34">
    <w:pPr>
      <w:pStyle w:val="Intestazione"/>
      <w:rPr>
        <w:rFonts w:ascii="FrizQuadrata" w:hAnsi="FrizQuadrata"/>
        <w:caps/>
        <w:color w:val="808080"/>
        <w:sz w:val="24"/>
        <w:szCs w:val="24"/>
      </w:rPr>
    </w:pPr>
    <w:r>
      <w:rPr>
        <w:rFonts w:ascii="FrizQuadrata" w:hAnsi="FrizQuadrata"/>
        <w:caps/>
        <w:noProof/>
        <w:color w:val="808080"/>
        <w:sz w:val="28"/>
      </w:rPr>
      <w:drawing>
        <wp:inline distT="0" distB="0" distL="0" distR="0" wp14:anchorId="219D9077" wp14:editId="34BBE67E">
          <wp:extent cx="1917065" cy="626110"/>
          <wp:effectExtent l="0" t="0" r="6985" b="2540"/>
          <wp:docPr id="1" name="Immagine 1" descr="marchio%20UNITN%20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%20UNITN%20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7A2C53" w:rsidRPr="00356A34" w:rsidTr="002F538D">
      <w:trPr>
        <w:cantSplit/>
        <w:trHeight w:val="391"/>
      </w:trPr>
      <w:tc>
        <w:tcPr>
          <w:tcW w:w="4961" w:type="dxa"/>
          <w:tcBorders>
            <w:left w:val="nil"/>
            <w:bottom w:val="nil"/>
            <w:right w:val="nil"/>
          </w:tcBorders>
          <w:vAlign w:val="center"/>
        </w:tcPr>
        <w:p w:rsidR="007A2C53" w:rsidRPr="000D2809" w:rsidRDefault="007A2C53" w:rsidP="002F538D">
          <w:pPr>
            <w:pStyle w:val="Intestazione"/>
            <w:spacing w:before="4"/>
            <w:rPr>
              <w:rFonts w:ascii="FrizQuadrata" w:hAnsi="FrizQuadrata"/>
              <w:b w:val="0"/>
              <w:caps/>
              <w:color w:val="5F5F5F"/>
              <w:sz w:val="28"/>
            </w:rPr>
          </w:pPr>
          <w:r w:rsidRPr="000D2809">
            <w:rPr>
              <w:rFonts w:ascii="Arial Black" w:hAnsi="Arial Black"/>
              <w:b w:val="0"/>
              <w:color w:val="5F5F5F"/>
              <w:sz w:val="18"/>
            </w:rPr>
            <w:t>Nucleo di Valutazione</w:t>
          </w:r>
        </w:p>
      </w:tc>
      <w:tc>
        <w:tcPr>
          <w:tcW w:w="4678" w:type="dxa"/>
          <w:tcBorders>
            <w:left w:val="nil"/>
            <w:bottom w:val="nil"/>
            <w:right w:val="nil"/>
          </w:tcBorders>
          <w:vAlign w:val="center"/>
        </w:tcPr>
        <w:p w:rsidR="007A2C53" w:rsidRPr="00356A34" w:rsidRDefault="007A2C53" w:rsidP="00D262DB">
          <w:pPr>
            <w:pStyle w:val="Intestazione"/>
            <w:spacing w:before="8" w:line="192" w:lineRule="auto"/>
            <w:jc w:val="right"/>
            <w:rPr>
              <w:rFonts w:ascii="Arial" w:hAnsi="Arial" w:cs="Arial"/>
              <w:bCs/>
              <w:i/>
              <w:sz w:val="18"/>
              <w:lang w:val="it-IT"/>
            </w:rPr>
          </w:pP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Verbale n. 1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3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 xml:space="preserve"> – NdV 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27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.</w:t>
          </w:r>
          <w:r>
            <w:rPr>
              <w:rFonts w:ascii="Arial" w:hAnsi="Arial" w:cs="Arial"/>
              <w:bCs/>
              <w:i/>
              <w:sz w:val="18"/>
              <w:lang w:val="it-IT"/>
            </w:rPr>
            <w:t>11</w:t>
          </w:r>
          <w:r w:rsidRPr="00356A34">
            <w:rPr>
              <w:rFonts w:ascii="Arial" w:hAnsi="Arial" w:cs="Arial"/>
              <w:bCs/>
              <w:i/>
              <w:sz w:val="18"/>
              <w:lang w:val="it-IT"/>
            </w:rPr>
            <w:t>.2013</w:t>
          </w:r>
        </w:p>
      </w:tc>
    </w:tr>
  </w:tbl>
  <w:p w:rsidR="007A2C53" w:rsidRPr="00356A34" w:rsidRDefault="007A2C53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7A2C53" w:rsidTr="002F538D">
      <w:trPr>
        <w:cantSplit/>
        <w:trHeight w:val="410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A2C53" w:rsidRDefault="007A2C53" w:rsidP="002F538D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1917065" cy="630555"/>
                <wp:effectExtent l="0" t="0" r="6985" b="0"/>
                <wp:docPr id="2" name="Immagine 3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6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2C53" w:rsidTr="00356A34">
      <w:trPr>
        <w:cantSplit/>
        <w:trHeight w:val="210"/>
      </w:trPr>
      <w:tc>
        <w:tcPr>
          <w:tcW w:w="4961" w:type="dxa"/>
          <w:tcBorders>
            <w:left w:val="nil"/>
            <w:bottom w:val="nil"/>
            <w:right w:val="nil"/>
          </w:tcBorders>
          <w:vAlign w:val="center"/>
        </w:tcPr>
        <w:p w:rsidR="007A2C53" w:rsidRPr="00356A34" w:rsidRDefault="007A2C53" w:rsidP="00356A34">
          <w:pPr>
            <w:pStyle w:val="Intestazione"/>
            <w:rPr>
              <w:rFonts w:ascii="FrizQuadrata" w:hAnsi="FrizQuadrata"/>
              <w:caps/>
              <w:color w:val="5F5F5F"/>
              <w:sz w:val="16"/>
              <w:szCs w:val="16"/>
            </w:rPr>
          </w:pPr>
        </w:p>
      </w:tc>
      <w:tc>
        <w:tcPr>
          <w:tcW w:w="4678" w:type="dxa"/>
          <w:tcBorders>
            <w:left w:val="nil"/>
            <w:bottom w:val="nil"/>
            <w:right w:val="nil"/>
          </w:tcBorders>
          <w:vAlign w:val="center"/>
        </w:tcPr>
        <w:p w:rsidR="007A2C53" w:rsidRDefault="007A2C53" w:rsidP="00356A34">
          <w:pPr>
            <w:pStyle w:val="Intestazione"/>
            <w:jc w:val="right"/>
            <w:rPr>
              <w:rFonts w:ascii="Arial" w:hAnsi="Arial" w:cs="Arial"/>
              <w:b w:val="0"/>
              <w:bCs/>
              <w:i/>
              <w:sz w:val="18"/>
            </w:rPr>
          </w:pPr>
        </w:p>
      </w:tc>
    </w:tr>
  </w:tbl>
  <w:p w:rsidR="007A2C53" w:rsidRPr="00356A34" w:rsidRDefault="007A2C53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73"/>
    <w:multiLevelType w:val="hybridMultilevel"/>
    <w:tmpl w:val="8A926AC4"/>
    <w:lvl w:ilvl="0" w:tplc="7532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4E41D3"/>
    <w:multiLevelType w:val="multilevel"/>
    <w:tmpl w:val="E1400DC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cs="Times New Roman"/>
      </w:rPr>
    </w:lvl>
  </w:abstractNum>
  <w:abstractNum w:abstractNumId="2">
    <w:nsid w:val="384855E2"/>
    <w:multiLevelType w:val="hybridMultilevel"/>
    <w:tmpl w:val="DDFA59BA"/>
    <w:lvl w:ilvl="0" w:tplc="375C1BAC">
      <w:start w:val="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4D6ABB"/>
    <w:multiLevelType w:val="multilevel"/>
    <w:tmpl w:val="CB7625E4"/>
    <w:lvl w:ilvl="0">
      <w:start w:val="1"/>
      <w:numFmt w:val="decimal"/>
      <w:lvlText w:val="%1."/>
      <w:lvlJc w:val="left"/>
      <w:pPr>
        <w:ind w:left="1287" w:firstLine="927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47" w:firstLine="6867"/>
      </w:pPr>
      <w:rPr>
        <w:rFonts w:cs="Times New Roman"/>
      </w:rPr>
    </w:lvl>
  </w:abstractNum>
  <w:abstractNum w:abstractNumId="4">
    <w:nsid w:val="7B7F0AD7"/>
    <w:multiLevelType w:val="multilevel"/>
    <w:tmpl w:val="15D4B124"/>
    <w:lvl w:ilvl="0">
      <w:start w:val="1"/>
      <w:numFmt w:val="decimal"/>
      <w:lvlText w:val="%1."/>
      <w:lvlJc w:val="left"/>
      <w:pPr>
        <w:ind w:left="927" w:firstLine="567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367" w:firstLine="21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27" w:firstLine="43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687" w:firstLine="650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1"/>
    <w:rsid w:val="00001B6B"/>
    <w:rsid w:val="000D2809"/>
    <w:rsid w:val="00100217"/>
    <w:rsid w:val="001377F1"/>
    <w:rsid w:val="0016246E"/>
    <w:rsid w:val="00182BCF"/>
    <w:rsid w:val="001B7369"/>
    <w:rsid w:val="001D5A91"/>
    <w:rsid w:val="00200E11"/>
    <w:rsid w:val="0025139E"/>
    <w:rsid w:val="00271928"/>
    <w:rsid w:val="002C4A2D"/>
    <w:rsid w:val="002D4CCE"/>
    <w:rsid w:val="002E1E0F"/>
    <w:rsid w:val="002F0E68"/>
    <w:rsid w:val="002F538D"/>
    <w:rsid w:val="003045F5"/>
    <w:rsid w:val="0035612B"/>
    <w:rsid w:val="00356A34"/>
    <w:rsid w:val="003745B0"/>
    <w:rsid w:val="00397A50"/>
    <w:rsid w:val="003B41A5"/>
    <w:rsid w:val="003F0292"/>
    <w:rsid w:val="00437CA0"/>
    <w:rsid w:val="00492809"/>
    <w:rsid w:val="004B0B21"/>
    <w:rsid w:val="004F15D7"/>
    <w:rsid w:val="00505361"/>
    <w:rsid w:val="00587C15"/>
    <w:rsid w:val="006241D1"/>
    <w:rsid w:val="00624685"/>
    <w:rsid w:val="006766B3"/>
    <w:rsid w:val="00685C61"/>
    <w:rsid w:val="007419D4"/>
    <w:rsid w:val="007A2C53"/>
    <w:rsid w:val="007F76C4"/>
    <w:rsid w:val="008168F0"/>
    <w:rsid w:val="00836A55"/>
    <w:rsid w:val="0084147C"/>
    <w:rsid w:val="0089439B"/>
    <w:rsid w:val="008D389B"/>
    <w:rsid w:val="008E5B37"/>
    <w:rsid w:val="008E62D0"/>
    <w:rsid w:val="0090707A"/>
    <w:rsid w:val="009137DB"/>
    <w:rsid w:val="00950D15"/>
    <w:rsid w:val="009633B1"/>
    <w:rsid w:val="009666A8"/>
    <w:rsid w:val="00967F34"/>
    <w:rsid w:val="00977E39"/>
    <w:rsid w:val="00A21BBC"/>
    <w:rsid w:val="00A366A4"/>
    <w:rsid w:val="00AC5B8E"/>
    <w:rsid w:val="00AF77A1"/>
    <w:rsid w:val="00B43ED4"/>
    <w:rsid w:val="00B703D7"/>
    <w:rsid w:val="00BB2C33"/>
    <w:rsid w:val="00BC73A6"/>
    <w:rsid w:val="00C847D7"/>
    <w:rsid w:val="00C91B8D"/>
    <w:rsid w:val="00CD4079"/>
    <w:rsid w:val="00D07635"/>
    <w:rsid w:val="00D262DB"/>
    <w:rsid w:val="00D42C1A"/>
    <w:rsid w:val="00D82DEA"/>
    <w:rsid w:val="00DC018B"/>
    <w:rsid w:val="00DE1CE4"/>
    <w:rsid w:val="00E2545E"/>
    <w:rsid w:val="00F30AA0"/>
    <w:rsid w:val="00FC12E0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E11"/>
    <w:rPr>
      <w:rFonts w:ascii="Times New Roman" w:eastAsia="Times New Roman" w:hAnsi="Times New Roman"/>
      <w:b/>
      <w:color w:val="000000"/>
      <w:sz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200E11"/>
    <w:pPr>
      <w:jc w:val="center"/>
    </w:pPr>
    <w:rPr>
      <w:rFonts w:ascii="Domine" w:eastAsia="Calibri" w:hAnsi="Domine" w:cs="Domine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00E11"/>
    <w:rPr>
      <w:rFonts w:ascii="Domine" w:eastAsia="Times New Roman" w:hAnsi="Domine" w:cs="Domine"/>
      <w:b/>
      <w:color w:val="000000"/>
      <w:sz w:val="24"/>
    </w:rPr>
  </w:style>
  <w:style w:type="paragraph" w:styleId="Intestazione">
    <w:name w:val="header"/>
    <w:basedOn w:val="Normale"/>
    <w:link w:val="IntestazioneCarattere"/>
    <w:rsid w:val="002F0E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rsid w:val="002F0E6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2F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0E68"/>
    <w:rPr>
      <w:rFonts w:ascii="Tahoma" w:hAnsi="Tahoma" w:cs="Tahoma"/>
      <w:b/>
      <w:color w:val="000000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2F538D"/>
    <w:rPr>
      <w:rFonts w:ascii="Calibri" w:eastAsia="Calibri" w:hAnsi="Calibri"/>
      <w:b w:val="0"/>
      <w:color w:val="auto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F538D"/>
    <w:rPr>
      <w:rFonts w:ascii="Calibri" w:hAnsi="Calibri" w:cs="Times New Roman"/>
      <w:sz w:val="21"/>
      <w:szCs w:val="21"/>
      <w:lang w:val="it-IT"/>
    </w:rPr>
  </w:style>
  <w:style w:type="paragraph" w:styleId="Paragrafoelenco">
    <w:name w:val="List Paragraph"/>
    <w:basedOn w:val="Normale"/>
    <w:uiPriority w:val="34"/>
    <w:qFormat/>
    <w:rsid w:val="00D2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E11"/>
    <w:rPr>
      <w:rFonts w:ascii="Times New Roman" w:eastAsia="Times New Roman" w:hAnsi="Times New Roman"/>
      <w:b/>
      <w:color w:val="000000"/>
      <w:sz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200E11"/>
    <w:pPr>
      <w:jc w:val="center"/>
    </w:pPr>
    <w:rPr>
      <w:rFonts w:ascii="Domine" w:eastAsia="Calibri" w:hAnsi="Domine" w:cs="Domine"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00E11"/>
    <w:rPr>
      <w:rFonts w:ascii="Domine" w:eastAsia="Times New Roman" w:hAnsi="Domine" w:cs="Domine"/>
      <w:b/>
      <w:color w:val="000000"/>
      <w:sz w:val="24"/>
    </w:rPr>
  </w:style>
  <w:style w:type="paragraph" w:styleId="Intestazione">
    <w:name w:val="header"/>
    <w:basedOn w:val="Normale"/>
    <w:link w:val="IntestazioneCarattere"/>
    <w:rsid w:val="002F0E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rsid w:val="002F0E6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0E68"/>
    <w:rPr>
      <w:rFonts w:ascii="Times New Roman" w:hAnsi="Times New Roman" w:cs="Times New Roman"/>
      <w:b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2F0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0E68"/>
    <w:rPr>
      <w:rFonts w:ascii="Tahoma" w:hAnsi="Tahoma" w:cs="Tahoma"/>
      <w:b/>
      <w:color w:val="000000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2F538D"/>
    <w:rPr>
      <w:rFonts w:ascii="Calibri" w:eastAsia="Calibri" w:hAnsi="Calibri"/>
      <w:b w:val="0"/>
      <w:color w:val="auto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F538D"/>
    <w:rPr>
      <w:rFonts w:ascii="Calibri" w:hAnsi="Calibri" w:cs="Times New Roman"/>
      <w:sz w:val="21"/>
      <w:szCs w:val="21"/>
      <w:lang w:val="it-IT"/>
    </w:rPr>
  </w:style>
  <w:style w:type="paragraph" w:styleId="Paragrafoelenco">
    <w:name w:val="List Paragraph"/>
    <w:basedOn w:val="Normale"/>
    <w:uiPriority w:val="34"/>
    <w:qFormat/>
    <w:rsid w:val="00D2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62B7F55D.dotm</Template>
  <TotalTime>75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Utente UniTN</cp:lastModifiedBy>
  <cp:revision>27</cp:revision>
  <cp:lastPrinted>2013-12-02T08:34:00Z</cp:lastPrinted>
  <dcterms:created xsi:type="dcterms:W3CDTF">2013-11-28T07:34:00Z</dcterms:created>
  <dcterms:modified xsi:type="dcterms:W3CDTF">2013-12-02T14:09:00Z</dcterms:modified>
</cp:coreProperties>
</file>