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before="240"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Annex 3 - Environmental sustainability requirement and DNSH principle</w:t>
      </w:r>
      <w:r w:rsidDel="00000000" w:rsidR="00000000" w:rsidRPr="00000000">
        <w:rPr>
          <w:rtl w:val="0"/>
        </w:rPr>
      </w:r>
    </w:p>
    <w:p w:rsidR="00000000" w:rsidDel="00000000" w:rsidP="00000000" w:rsidRDefault="00000000" w:rsidRPr="00000000" w14:paraId="00000002">
      <w:pPr>
        <w:spacing w:after="240" w:before="240" w:line="360" w:lineRule="auto"/>
        <w:ind w:left="14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Project title:</w:t>
      </w:r>
    </w:p>
    <w:p w:rsidR="00000000" w:rsidDel="00000000" w:rsidP="00000000" w:rsidRDefault="00000000" w:rsidRPr="00000000" w14:paraId="00000003">
      <w:pPr>
        <w:spacing w:after="240" w:before="240" w:line="360" w:lineRule="auto"/>
        <w:ind w:left="14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Applicant’s name and surname: </w:t>
      </w:r>
    </w:p>
    <w:p w:rsidR="00000000" w:rsidDel="00000000" w:rsidP="00000000" w:rsidRDefault="00000000" w:rsidRPr="00000000" w14:paraId="00000004">
      <w:pPr>
        <w:spacing w:after="240" w:before="240" w:line="360" w:lineRule="auto"/>
        <w:ind w:left="1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Indicate how the project aims to promote the reduction of environmental impact and provide context on how it adhere to the principle of “Do Not Significant Harm” </w:t>
      </w:r>
      <w:r w:rsidDel="00000000" w:rsidR="00000000" w:rsidRPr="00000000">
        <w:rPr>
          <w:rFonts w:ascii="Arial" w:cs="Arial" w:eastAsia="Arial" w:hAnsi="Arial"/>
          <w:sz w:val="22"/>
          <w:szCs w:val="22"/>
          <w:rtl w:val="0"/>
        </w:rPr>
        <w:t xml:space="preserve">(DNSH)</w:t>
      </w:r>
      <w:r w:rsidDel="00000000" w:rsidR="00000000" w:rsidRPr="00000000">
        <w:rPr>
          <w:rFonts w:ascii="Arial" w:cs="Arial" w:eastAsia="Arial" w:hAnsi="Arial"/>
          <w:sz w:val="22"/>
          <w:szCs w:val="22"/>
          <w:vertAlign w:val="superscript"/>
        </w:rPr>
        <w:footnoteReference w:customMarkFollows="0" w:id="0"/>
      </w:r>
      <w:r w:rsidDel="00000000" w:rsidR="00000000" w:rsidRPr="00000000">
        <w:rPr>
          <w:rtl w:val="0"/>
        </w:rPr>
      </w:r>
    </w:p>
    <w:p w:rsidR="00000000" w:rsidDel="00000000" w:rsidP="00000000" w:rsidRDefault="00000000" w:rsidRPr="00000000" w14:paraId="00000005">
      <w:pPr>
        <w:spacing w:after="240" w:before="240" w:line="360" w:lineRule="auto"/>
        <w:ind w:left="1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applicant must determine which of the six environmental objectives, outlined in Art. 17 of Reg. (EU) 2020/85217 (Significant Harm to Environmental Objectives), and listed in the table, require a background assessment for DNSH  in connection with the project proposal. </w:t>
      </w:r>
    </w:p>
    <w:tbl>
      <w:tblPr>
        <w:tblStyle w:val="Table1"/>
        <w:tblW w:w="89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00"/>
        <w:gridCol w:w="2805"/>
        <w:gridCol w:w="1185"/>
        <w:gridCol w:w="2820"/>
        <w:tblGridChange w:id="0">
          <w:tblGrid>
            <w:gridCol w:w="2100"/>
            <w:gridCol w:w="2805"/>
            <w:gridCol w:w="1185"/>
            <w:gridCol w:w="2820"/>
          </w:tblGrid>
        </w:tblGridChange>
      </w:tblGrid>
      <w:tr>
        <w:trPr>
          <w:cantSplit w:val="0"/>
          <w:trHeight w:val="540" w:hRule="atLeast"/>
          <w:tblHeader w:val="0"/>
        </w:trPr>
        <w:tc>
          <w:tcPr>
            <w:gridSpan w:val="2"/>
            <w:tcBorders>
              <w:top w:color="000000" w:space="0" w:sz="0" w:val="nil"/>
              <w:left w:color="000000" w:space="0" w:sz="0" w:val="nil"/>
              <w:bottom w:color="000000" w:space="0" w:sz="5" w:val="single"/>
              <w:right w:color="000000" w:space="0" w:sz="5" w:val="single"/>
            </w:tcBorders>
            <w:tcMar>
              <w:top w:w="0.0" w:type="dxa"/>
              <w:left w:w="100.0" w:type="dxa"/>
              <w:bottom w:w="0.0" w:type="dxa"/>
              <w:right w:w="100.0" w:type="dxa"/>
            </w:tcMar>
            <w:vAlign w:val="top"/>
          </w:tcPr>
          <w:p w:rsidR="00000000" w:rsidDel="00000000" w:rsidP="00000000" w:rsidRDefault="00000000" w:rsidRPr="00000000" w14:paraId="00000006">
            <w:pPr>
              <w:spacing w:after="240" w:before="240" w:line="288.0000000000000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Indicate the extent of compliance with environmental objectives concerning the project proposal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08">
            <w:pPr>
              <w:spacing w:after="240" w:before="240" w:line="288.0000000000000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Yes/No</w:t>
            </w:r>
          </w:p>
        </w:tc>
        <w:tc>
          <w:tcPr>
            <w:tcBorders>
              <w:top w:color="000000" w:space="0" w:sz="0" w:val="nil"/>
              <w:left w:color="000000" w:space="0" w:sz="0" w:val="nil"/>
              <w:bottom w:color="000000" w:space="0" w:sz="5"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09">
            <w:pPr>
              <w:spacing w:after="240" w:before="240" w:line="288.0000000000000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Justification</w:t>
            </w:r>
          </w:p>
        </w:tc>
      </w:tr>
      <w:tr>
        <w:trPr>
          <w:cantSplit w:val="0"/>
          <w:trHeight w:val="810" w:hRule="atLeast"/>
          <w:tblHeader w:val="0"/>
        </w:trPr>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0A">
            <w:pPr>
              <w:spacing w:after="240" w:before="240" w:line="288.0000000000000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Climate change mitigation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0B">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does NOT lead to significant greenhouse gas emissions (GHG);</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0C">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5"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0D">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1605" w:hRule="atLeast"/>
          <w:tblHeader w:val="0"/>
        </w:trPr>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0E">
            <w:pPr>
              <w:spacing w:after="240" w:before="240" w:line="288.0000000000000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Climate change adaptation</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0F">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does NOT result in a greater negative impact of current and future climate, on the activity itself or on people, nature or property;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10">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5"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11">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1860" w:hRule="atLeast"/>
          <w:tblHeader w:val="0"/>
        </w:trPr>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12">
            <w:pPr>
              <w:spacing w:after="240" w:before="240" w:line="288.0000000000000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sustainable use and protection of water and marine resources</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13">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NOT detrimental to the good status of water bodies (surface, groundwater or marine) by causing their qualitative deterioration or reduction of ecological potential;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14">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5"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15">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3450" w:hRule="atLeast"/>
          <w:tblHeader w:val="0"/>
        </w:trPr>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16">
            <w:pPr>
              <w:spacing w:after="240" w:before="240" w:line="288.0000000000000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circular economy, including waste prevention and recycling </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17">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does NOT lead to significant inefficiencies in the use of recovered or recycled materials, increases in the direct or indirect use of natural resources, significant increases in waste, its incineration or disposal, causing significant long-term environmental damage;</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18">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5"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19">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1605" w:hRule="atLeast"/>
          <w:tblHeader w:val="0"/>
        </w:trPr>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1A">
            <w:pPr>
              <w:spacing w:after="240" w:before="240" w:line="288.0000000000000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Pollution prevention and control to air, water and land</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1B">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does NOT result in increased emissions of pollutants into the air, water, or soil;</w:t>
            </w:r>
          </w:p>
        </w:tc>
        <w:tc>
          <w:tcPr>
            <w:tcBorders>
              <w:top w:color="000000" w:space="0" w:sz="0" w:val="nil"/>
              <w:left w:color="000000" w:space="0" w:sz="0" w:val="nil"/>
              <w:bottom w:color="000000" w:space="0" w:sz="5" w:val="single"/>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1C">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5" w:val="single"/>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1D">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cantSplit w:val="0"/>
          <w:trHeight w:val="1065" w:hRule="atLeast"/>
          <w:tblHeader w:val="0"/>
        </w:trPr>
        <w:tc>
          <w:tcPr>
            <w:tcBorders>
              <w:top w:color="000000" w:space="0" w:sz="0" w:val="nil"/>
              <w:left w:color="000000" w:space="0" w:sz="0" w:val="nil"/>
              <w:bottom w:color="000000" w:space="0" w:sz="0" w:val="nil"/>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1E">
            <w:pPr>
              <w:spacing w:after="240" w:before="240" w:line="288.0000000000000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protection and restoration of biodiversity and ecosystems</w:t>
            </w:r>
          </w:p>
        </w:tc>
        <w:tc>
          <w:tcPr>
            <w:tcBorders>
              <w:top w:color="000000" w:space="0" w:sz="0" w:val="nil"/>
              <w:left w:color="000000" w:space="0" w:sz="0" w:val="nil"/>
              <w:bottom w:color="000000" w:space="0" w:sz="0" w:val="nil"/>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1F">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does NOT result in increased emissions of pollutants into the air, water, or soil;</w:t>
            </w:r>
          </w:p>
        </w:tc>
        <w:tc>
          <w:tcPr>
            <w:tcBorders>
              <w:top w:color="000000" w:space="0" w:sz="0" w:val="nil"/>
              <w:left w:color="000000" w:space="0" w:sz="0" w:val="nil"/>
              <w:bottom w:color="000000" w:space="0" w:sz="0" w:val="nil"/>
              <w:right w:color="000000" w:space="0" w:sz="5" w:val="single"/>
            </w:tcBorders>
            <w:shd w:fill="auto" w:val="clear"/>
            <w:tcMar>
              <w:top w:w="0.0" w:type="dxa"/>
              <w:left w:w="100.0" w:type="dxa"/>
              <w:bottom w:w="0.0" w:type="dxa"/>
              <w:right w:w="100.0" w:type="dxa"/>
            </w:tcMar>
            <w:vAlign w:val="top"/>
          </w:tcPr>
          <w:p w:rsidR="00000000" w:rsidDel="00000000" w:rsidP="00000000" w:rsidRDefault="00000000" w:rsidRPr="00000000" w14:paraId="00000020">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0.0" w:type="dxa"/>
              <w:left w:w="100.0" w:type="dxa"/>
              <w:bottom w:w="0.0" w:type="dxa"/>
              <w:right w:w="100.0" w:type="dxa"/>
            </w:tcMar>
            <w:vAlign w:val="top"/>
          </w:tcPr>
          <w:p w:rsidR="00000000" w:rsidDel="00000000" w:rsidP="00000000" w:rsidRDefault="00000000" w:rsidRPr="00000000" w14:paraId="00000021">
            <w:pPr>
              <w:spacing w:after="240" w:before="240" w:line="288.0000000000000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22">
      <w:pPr>
        <w:spacing w:after="240" w:before="240" w:line="360" w:lineRule="auto"/>
        <w:ind w:left="1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3">
      <w:pPr>
        <w:spacing w:after="240" w:before="240" w:line="360" w:lineRule="auto"/>
        <w:ind w:left="1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the answer is "yes," the proposer is asked to provide a brief justification (in the right-hand column) of why the environmental objective does not require a DNSH background assessment of the measure, based on one of the following cases, to be indicated:</w:t>
      </w:r>
    </w:p>
    <w:p w:rsidR="00000000" w:rsidDel="00000000" w:rsidP="00000000" w:rsidRDefault="00000000" w:rsidRPr="00000000" w14:paraId="00000024">
      <w:pPr>
        <w:spacing w:after="240" w:before="240" w:line="360" w:lineRule="auto"/>
        <w:ind w:left="1420"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The project has no or negligible foreseeable impact on the environmental objective related to the direct effects and primary indirect effects of the measure over its life cycle, given its nature, and as such is considered to comply with the DNSH principle for the relevant objective;</w:t>
      </w:r>
    </w:p>
    <w:p w:rsidR="00000000" w:rsidDel="00000000" w:rsidP="00000000" w:rsidRDefault="00000000" w:rsidRPr="00000000" w14:paraId="00000025">
      <w:pPr>
        <w:spacing w:after="240" w:before="240" w:line="360" w:lineRule="auto"/>
        <w:ind w:left="1420"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The project has a 100 percent coefficient of support for an objective related to climate change or the environment, and as such is considered to comply with the DNSH principle for the relevant objective;</w:t>
      </w:r>
    </w:p>
    <w:p w:rsidR="00000000" w:rsidDel="00000000" w:rsidP="00000000" w:rsidRDefault="00000000" w:rsidRPr="00000000" w14:paraId="00000026">
      <w:pPr>
        <w:spacing w:after="240" w:before="240" w:line="360" w:lineRule="auto"/>
        <w:ind w:left="1420"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  The project "contributes substantially" to an environmental objective, as defined in EU) 2020/85217, and as such is considered to be in compliance with the DNSH principle for the relevant objective.</w:t>
      </w:r>
    </w:p>
    <w:p w:rsidR="00000000" w:rsidDel="00000000" w:rsidP="00000000" w:rsidRDefault="00000000" w:rsidRPr="00000000" w14:paraId="00000027">
      <w:pPr>
        <w:spacing w:after="240" w:before="240" w:line="360" w:lineRule="auto"/>
        <w:ind w:left="1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the answer is "no," proposers are asked to indicate in the reason:</w:t>
      </w:r>
    </w:p>
    <w:p w:rsidR="00000000" w:rsidDel="00000000" w:rsidP="00000000" w:rsidRDefault="00000000" w:rsidRPr="00000000" w14:paraId="00000028">
      <w:pPr>
        <w:spacing w:after="240" w:before="240" w:line="360" w:lineRule="auto"/>
        <w:ind w:left="1420" w:hanging="4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     The project requires an overall DNSH assessment.</w:t>
      </w:r>
    </w:p>
    <w:p w:rsidR="00000000" w:rsidDel="00000000" w:rsidP="00000000" w:rsidRDefault="00000000" w:rsidRPr="00000000" w14:paraId="00000029">
      <w:pPr>
        <w:spacing w:after="240" w:before="240" w:line="360" w:lineRule="auto"/>
        <w:ind w:left="1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will be invited to proceed to Step 2 of the checklist for the corresponding environmental objectives.</w:t>
      </w:r>
    </w:p>
    <w:p w:rsidR="00000000" w:rsidDel="00000000" w:rsidP="00000000" w:rsidRDefault="00000000" w:rsidRPr="00000000" w14:paraId="0000002A">
      <w:pPr>
        <w:spacing w:after="80" w:before="240"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after="80" w:before="240" w:line="360" w:lineRule="auto"/>
        <w:jc w:val="both"/>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spacing w:after="240" w:before="240" w:line="360" w:lineRule="auto"/>
        <w:jc w:val="both"/>
        <w:rPr>
          <w:rFonts w:ascii="Arial" w:cs="Arial" w:eastAsia="Arial" w:hAnsi="Arial"/>
          <w:color w:val="1155cc"/>
          <w:sz w:val="22"/>
          <w:szCs w:val="22"/>
          <w:u w:val="single"/>
        </w:rPr>
      </w:pPr>
      <w:r w:rsidDel="00000000" w:rsidR="00000000" w:rsidRPr="00000000">
        <w:rPr>
          <w:rFonts w:ascii="Corbel" w:cs="Corbel" w:eastAsia="Corbel" w:hAnsi="Corbel"/>
          <w:sz w:val="20"/>
          <w:szCs w:val="20"/>
          <w:rtl w:val="0"/>
        </w:rPr>
        <w:t xml:space="preserve">[1]</w:t>
      </w:r>
      <w:hyperlink r:id="rId7">
        <w:r w:rsidDel="00000000" w:rsidR="00000000" w:rsidRPr="00000000">
          <w:rPr>
            <w:rFonts w:ascii="Arial" w:cs="Arial" w:eastAsia="Arial" w:hAnsi="Arial"/>
            <w:sz w:val="22"/>
            <w:szCs w:val="22"/>
            <w:rtl w:val="0"/>
          </w:rPr>
          <w:t xml:space="preserve"> </w:t>
        </w:r>
      </w:hyperlink>
      <w:hyperlink r:id="rId8">
        <w:r w:rsidDel="00000000" w:rsidR="00000000" w:rsidRPr="00000000">
          <w:rPr>
            <w:rFonts w:ascii="Arial" w:cs="Arial" w:eastAsia="Arial" w:hAnsi="Arial"/>
            <w:color w:val="1155cc"/>
            <w:sz w:val="22"/>
            <w:szCs w:val="22"/>
            <w:u w:val="single"/>
            <w:rtl w:val="0"/>
          </w:rPr>
          <w:t xml:space="preserve">https://eur-lex.europa.eu/legal-content/IT/TXT/PDF/?uri=CELEX:52021XC0218(01)&amp;from=IT</w:t>
        </w:r>
      </w:hyperlink>
      <w:r w:rsidDel="00000000" w:rsidR="00000000" w:rsidRPr="00000000">
        <w:rPr>
          <w:rtl w:val="0"/>
        </w:rPr>
      </w:r>
    </w:p>
    <w:p w:rsidR="00000000" w:rsidDel="00000000" w:rsidP="00000000" w:rsidRDefault="00000000" w:rsidRPr="00000000" w14:paraId="0000002D">
      <w:pPr>
        <w:spacing w:after="80" w:before="240" w:line="360" w:lineRule="auto"/>
        <w:jc w:val="both"/>
        <w:rPr>
          <w:rFonts w:ascii="Arial" w:cs="Arial" w:eastAsia="Arial" w:hAnsi="Arial"/>
          <w:sz w:val="22"/>
          <w:szCs w:val="22"/>
        </w:rPr>
      </w:pPr>
      <w:r w:rsidDel="00000000" w:rsidR="00000000" w:rsidRPr="00000000">
        <w:rPr>
          <w:rtl w:val="0"/>
        </w:rPr>
      </w:r>
    </w:p>
    <w:sectPr>
      <w:headerReference r:id="rId9" w:type="default"/>
      <w:headerReference r:id="rId10" w:type="even"/>
      <w:footerReference r:id="rId11" w:type="default"/>
      <w:pgSz w:h="16838" w:w="11906" w:orient="portrait"/>
      <w:pgMar w:bottom="816" w:top="2155" w:left="851" w:right="849"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73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577697" cy="1324800"/>
          <wp:effectExtent b="0" l="0" r="0" t="0"/>
          <wp:docPr descr="Immagine che contiene testo, Carattere, linea, schermata&#10;&#10;Descrizione generata automaticamente" id="1" name="image2.jpg"/>
          <a:graphic>
            <a:graphicData uri="http://schemas.openxmlformats.org/drawingml/2006/picture">
              <pic:pic>
                <pic:nvPicPr>
                  <pic:cNvPr descr="Immagine che contiene testo, Carattere, linea, schermata&#10;&#10;Descrizione generata automaticamente" id="0" name="image2.jpg"/>
                  <pic:cNvPicPr preferRelativeResize="0"/>
                </pic:nvPicPr>
                <pic:blipFill>
                  <a:blip r:embed="rId1"/>
                  <a:srcRect b="0" l="0" r="0" t="0"/>
                  <a:stretch>
                    <a:fillRect/>
                  </a:stretch>
                </pic:blipFill>
                <pic:spPr>
                  <a:xfrm>
                    <a:off x="0" y="0"/>
                    <a:ext cx="7577697" cy="1324800"/>
                  </a:xfrm>
                  <a:prstGeom prst="rect"/>
                  <a:ln/>
                </pic:spPr>
              </pic:pic>
            </a:graphicData>
          </a:graphic>
        </wp:inline>
      </w:drawing>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u w:val="single"/>
            <w:rtl w:val="0"/>
          </w:rPr>
          <w:t xml:space="preserve">https://eur-lex.europa.eu/legal-content/IT/TXT/PDF/?uri=CELEX:52021XC0218(01)&amp;from=IT</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720" w:line="240" w:lineRule="auto"/>
      <w:ind w:left="0" w:right="0" w:firstLine="0"/>
      <w:jc w:val="right"/>
      <w:rPr>
        <w:rFonts w:ascii="Montserrat" w:cs="Montserrat" w:eastAsia="Montserrat" w:hAnsi="Montserrat"/>
        <w:b w:val="1"/>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565" w:hanging="709"/>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7182261" cy="96080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182261" cy="96080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432" w:hanging="432"/>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ind w:left="576" w:hanging="576"/>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ind w:left="720" w:hanging="720"/>
    </w:pPr>
    <w:rPr>
      <w:rFonts w:ascii="Calibri" w:cs="Calibri" w:eastAsia="Calibri" w:hAnsi="Calibri"/>
      <w:color w:val="1f3863"/>
    </w:rPr>
  </w:style>
  <w:style w:type="paragraph" w:styleId="Heading4">
    <w:name w:val="heading 4"/>
    <w:basedOn w:val="Normal"/>
    <w:next w:val="Normal"/>
    <w:pPr>
      <w:keepNext w:val="1"/>
      <w:keepLines w:val="1"/>
      <w:spacing w:before="40" w:lineRule="auto"/>
      <w:ind w:left="864" w:hanging="864"/>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ind w:left="1008" w:hanging="1008"/>
    </w:pPr>
    <w:rPr>
      <w:rFonts w:ascii="Calibri" w:cs="Calibri" w:eastAsia="Calibri" w:hAnsi="Calibri"/>
      <w:color w:val="2f5496"/>
    </w:rPr>
  </w:style>
  <w:style w:type="paragraph" w:styleId="Heading6">
    <w:name w:val="heading 6"/>
    <w:basedOn w:val="Normal"/>
    <w:next w:val="Normal"/>
    <w:pPr>
      <w:keepNext w:val="1"/>
      <w:keepLines w:val="1"/>
      <w:spacing w:before="40" w:lineRule="auto"/>
      <w:ind w:left="1152" w:hanging="1152"/>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ur-lex.europa.eu/legal-content/IT/TXT/PDF/?uri=CELEX:52021XC0218(01)&amp;from=IT" TargetMode="External"/><Relationship Id="rId8" Type="http://schemas.openxmlformats.org/officeDocument/2006/relationships/hyperlink" Target="https://eur-lex.europa.eu/legal-content/IT/TXT/PDF/?uri=CELEX:52021XC0218(01)&amp;fr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TXT/PDF/?uri=CELEX:52021XC0218(01)&amp;fr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0x0101004D50CA79A3B2CF4CA60726404D752F3F</vt:lpwstr>
  </property>
</Properties>
</file>