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0" w:before="240" w:line="36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Annex 3 - Environmental sustainability requirement and DNSH principle</w:t>
      </w:r>
      <w:r w:rsidDel="00000000" w:rsidR="00000000" w:rsidRPr="00000000">
        <w:rPr>
          <w:rtl w:val="0"/>
        </w:rPr>
      </w:r>
    </w:p>
    <w:p w:rsidR="00000000" w:rsidDel="00000000" w:rsidP="00000000" w:rsidRDefault="00000000" w:rsidRPr="00000000" w14:paraId="00000002">
      <w:pPr>
        <w:spacing w:after="240" w:before="240" w:line="360" w:lineRule="auto"/>
        <w:ind w:left="14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title:</w:t>
      </w:r>
    </w:p>
    <w:p w:rsidR="00000000" w:rsidDel="00000000" w:rsidP="00000000" w:rsidRDefault="00000000" w:rsidRPr="00000000" w14:paraId="00000003">
      <w:pPr>
        <w:spacing w:after="240" w:before="240" w:line="360" w:lineRule="auto"/>
        <w:ind w:left="14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Applicant’s name and surname: </w:t>
      </w:r>
    </w:p>
    <w:p w:rsidR="00000000" w:rsidDel="00000000" w:rsidP="00000000" w:rsidRDefault="00000000" w:rsidRPr="00000000" w14:paraId="00000004">
      <w:pPr>
        <w:spacing w:after="240" w:before="240" w:line="360" w:lineRule="auto"/>
        <w:ind w:left="1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Indicate how the project aims to promote the reduction of environmental impact and provide context on how it adhere to the principle of “Do Not Significant Harm” </w:t>
      </w:r>
      <w:r w:rsidDel="00000000" w:rsidR="00000000" w:rsidRPr="00000000">
        <w:rPr>
          <w:rFonts w:ascii="Arial" w:cs="Arial" w:eastAsia="Arial" w:hAnsi="Arial"/>
          <w:sz w:val="22"/>
          <w:szCs w:val="22"/>
          <w:rtl w:val="0"/>
        </w:rPr>
        <w:t xml:space="preserve">(DNSH)</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240" w:before="240" w:line="360" w:lineRule="auto"/>
        <w:ind w:left="1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applicant must determine which of the six environmental objectives, outlined in Art. 17 of Reg. (EU) 2020/85217 (Significant Harm to Environmental Objectives), and listed in the table, require a background assessment for DNSH  in connection with the project proposal. </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2805"/>
        <w:gridCol w:w="1185"/>
        <w:gridCol w:w="2820"/>
        <w:tblGridChange w:id="0">
          <w:tblGrid>
            <w:gridCol w:w="2100"/>
            <w:gridCol w:w="2805"/>
            <w:gridCol w:w="1185"/>
            <w:gridCol w:w="2820"/>
          </w:tblGrid>
        </w:tblGridChange>
      </w:tblGrid>
      <w:tr>
        <w:trPr>
          <w:cantSplit w:val="0"/>
          <w:trHeight w:val="540" w:hRule="atLeast"/>
          <w:tblHeader w:val="0"/>
        </w:trPr>
        <w:tc>
          <w:tcPr>
            <w:gridSpan w:val="2"/>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after="240" w:before="240" w:line="288.0000000000000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Indicate the extent of compliance with environmental objectives concerning the project proposal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8">
            <w:pPr>
              <w:spacing w:after="240" w:before="240" w:line="288.0000000000000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Yes/No</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09">
            <w:pPr>
              <w:spacing w:after="240" w:before="240" w:line="288.0000000000000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Justification</w:t>
            </w:r>
          </w:p>
        </w:tc>
      </w:tr>
      <w:tr>
        <w:trPr>
          <w:cantSplit w:val="0"/>
          <w:trHeight w:val="810" w:hRule="atLeast"/>
          <w:tblHeader w:val="0"/>
        </w:trPr>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A">
            <w:pPr>
              <w:spacing w:after="240" w:before="240" w:line="288.0000000000000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Climate change mitigation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B">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does NOT lead to significant greenhouse gas emissions (GHG);</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C">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0D">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1605" w:hRule="atLeast"/>
          <w:tblHeader w:val="0"/>
        </w:trPr>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E">
            <w:pPr>
              <w:spacing w:after="240" w:before="240" w:line="288.0000000000000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Climate change adaptation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0F">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does NOT result in a greater negative impact of current and future climate, on the activity itself or on people, nature or property;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0">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1">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1860" w:hRule="atLeast"/>
          <w:tblHeader w:val="0"/>
        </w:trPr>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2">
            <w:pPr>
              <w:spacing w:after="240" w:before="240" w:line="288.0000000000000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sustainable use and protection of water and marine resources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3">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NOT detrimental to the good status of water bodies (surface, groundwater or marine) by causing their qualitative deterioration or reduction of ecological potential;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4">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5">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3450" w:hRule="atLeast"/>
          <w:tblHeader w:val="0"/>
        </w:trPr>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6">
            <w:pPr>
              <w:spacing w:after="240" w:before="240" w:line="288.0000000000000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circular economy, including waste prevention and recycling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7">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does NOT lead to significant inefficiencies in the use of recovered or recycled materials, increases in the direct or indirect use of natural resources, significant increases in waste, its incineration or disposal, causing significant long-term environmental damage;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8">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9">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1605" w:hRule="atLeast"/>
          <w:tblHeader w:val="0"/>
        </w:trPr>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A">
            <w:pPr>
              <w:spacing w:after="240" w:before="240" w:line="288.0000000000000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Pollution prevention and control to air, water and land</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B">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does NOT result in increased emissions of pollutants into the air, water, or soil;</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C">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5"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1D">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1065" w:hRule="atLeast"/>
          <w:tblHeader w:val="0"/>
        </w:trPr>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E">
            <w:pPr>
              <w:spacing w:after="240" w:before="240" w:line="288.0000000000000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protection and restoration of biodiversity and ecosystems</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1F">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does NOT result in increased emissions of pollutants into the air, water, or soil;</w:t>
            </w:r>
          </w:p>
        </w:tc>
        <w:tc>
          <w:tcPr>
            <w:tcBorders>
              <w:top w:color="000000" w:space="0" w:sz="0" w:val="nil"/>
              <w:left w:color="000000" w:space="0" w:sz="0" w:val="nil"/>
              <w:bottom w:color="000000" w:space="0" w:sz="0" w:val="nil"/>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20">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1">
            <w:pPr>
              <w:spacing w:after="240" w:before="240" w:line="288.0000000000000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2">
      <w:pPr>
        <w:spacing w:after="240" w:before="240" w:line="360" w:lineRule="auto"/>
        <w:ind w:left="1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spacing w:after="240" w:before="240" w:line="360" w:lineRule="auto"/>
        <w:ind w:left="1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answer is "yes," the proposer is asked to provide a brief justification (in the right-hand column) of why the environmental objective does not require a DNSH background assessment of the measure, based on one of the following cases, to be indicated:</w:t>
      </w:r>
    </w:p>
    <w:p w:rsidR="00000000" w:rsidDel="00000000" w:rsidP="00000000" w:rsidRDefault="00000000" w:rsidRPr="00000000" w14:paraId="00000024">
      <w:pPr>
        <w:spacing w:after="240" w:before="240" w:line="360" w:lineRule="auto"/>
        <w:ind w:left="1420" w:hanging="4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tab/>
        <w:t xml:space="preserve">The project has no or negligible foreseeable impact on the environmental objective related to the direct effects and primary indirect effects of the measure over its life cycle, given its nature, and as such is considered to comply with the DNSH principle for the relevant objective;</w:t>
      </w:r>
    </w:p>
    <w:p w:rsidR="00000000" w:rsidDel="00000000" w:rsidP="00000000" w:rsidRDefault="00000000" w:rsidRPr="00000000" w14:paraId="00000025">
      <w:pPr>
        <w:spacing w:after="240" w:before="240" w:line="360" w:lineRule="auto"/>
        <w:ind w:left="1420" w:hanging="4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w:t>
        <w:tab/>
        <w:t xml:space="preserve">The project has a 100 percent coefficient of support for an objective related to climate change or the environment, and as such is considered to comply with the DNSH principle for the relevant objective;</w:t>
      </w:r>
    </w:p>
    <w:p w:rsidR="00000000" w:rsidDel="00000000" w:rsidP="00000000" w:rsidRDefault="00000000" w:rsidRPr="00000000" w14:paraId="00000026">
      <w:pPr>
        <w:spacing w:after="240" w:before="240" w:line="360" w:lineRule="auto"/>
        <w:ind w:left="1420" w:hanging="4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The project "contributes substantially" to an environmental objective, as defined in EU) 2020/85217, and as such is considered to be in compliance with the DNSH principle for the relevant objective.</w:t>
      </w:r>
    </w:p>
    <w:p w:rsidR="00000000" w:rsidDel="00000000" w:rsidP="00000000" w:rsidRDefault="00000000" w:rsidRPr="00000000" w14:paraId="00000027">
      <w:pPr>
        <w:spacing w:after="240" w:before="240" w:line="360" w:lineRule="auto"/>
        <w:ind w:left="1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the answer is "no," proposers are asked to indicate in the reason:</w:t>
      </w:r>
    </w:p>
    <w:p w:rsidR="00000000" w:rsidDel="00000000" w:rsidP="00000000" w:rsidRDefault="00000000" w:rsidRPr="00000000" w14:paraId="00000028">
      <w:pPr>
        <w:spacing w:after="240" w:before="240" w:line="360" w:lineRule="auto"/>
        <w:ind w:left="1420" w:hanging="4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The project requires an overall DNSH assessment.</w:t>
      </w:r>
    </w:p>
    <w:p w:rsidR="00000000" w:rsidDel="00000000" w:rsidP="00000000" w:rsidRDefault="00000000" w:rsidRPr="00000000" w14:paraId="00000029">
      <w:pPr>
        <w:spacing w:after="240" w:before="240" w:line="360" w:lineRule="auto"/>
        <w:ind w:left="14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 will be invited to proceed to Step 2 of the checklist for the corresponding environmental objectives.</w:t>
      </w:r>
    </w:p>
    <w:p w:rsidR="00000000" w:rsidDel="00000000" w:rsidP="00000000" w:rsidRDefault="00000000" w:rsidRPr="00000000" w14:paraId="0000002A">
      <w:pPr>
        <w:spacing w:after="80" w:before="24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after="80" w:before="240" w:line="360" w:lineRule="auto"/>
        <w:jc w:val="both"/>
        <w:rPr>
          <w:rFonts w:ascii="Arial" w:cs="Arial" w:eastAsia="Arial" w:hAnsi="Arial"/>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after="240" w:before="240" w:line="360" w:lineRule="auto"/>
        <w:jc w:val="both"/>
        <w:rPr>
          <w:rFonts w:ascii="Arial" w:cs="Arial" w:eastAsia="Arial" w:hAnsi="Arial"/>
          <w:color w:val="1155cc"/>
          <w:sz w:val="22"/>
          <w:szCs w:val="22"/>
          <w:u w:val="single"/>
        </w:rPr>
      </w:pPr>
      <w:r w:rsidDel="00000000" w:rsidR="00000000" w:rsidRPr="00000000">
        <w:rPr>
          <w:rFonts w:ascii="Corbel" w:cs="Corbel" w:eastAsia="Corbel" w:hAnsi="Corbel"/>
          <w:sz w:val="20"/>
          <w:szCs w:val="20"/>
          <w:rtl w:val="0"/>
        </w:rPr>
        <w:t xml:space="preserve">[1]</w:t>
      </w:r>
      <w:hyperlink r:id="rId7">
        <w:r w:rsidDel="00000000" w:rsidR="00000000" w:rsidRPr="00000000">
          <w:rPr>
            <w:rFonts w:ascii="Arial" w:cs="Arial" w:eastAsia="Arial" w:hAnsi="Arial"/>
            <w:sz w:val="22"/>
            <w:szCs w:val="22"/>
            <w:rtl w:val="0"/>
          </w:rPr>
          <w:t xml:space="preserve"> </w:t>
        </w:r>
      </w:hyperlink>
      <w:hyperlink r:id="rId8">
        <w:r w:rsidDel="00000000" w:rsidR="00000000" w:rsidRPr="00000000">
          <w:rPr>
            <w:rFonts w:ascii="Arial" w:cs="Arial" w:eastAsia="Arial" w:hAnsi="Arial"/>
            <w:color w:val="1155cc"/>
            <w:sz w:val="22"/>
            <w:szCs w:val="22"/>
            <w:u w:val="single"/>
            <w:rtl w:val="0"/>
          </w:rPr>
          <w:t xml:space="preserve">https://eur-lex.europa.eu/legal-content/IT/TXT/PDF/?uri=CELEX:52021XC0218(01)&amp;from=IT</w:t>
        </w:r>
      </w:hyperlink>
      <w:r w:rsidDel="00000000" w:rsidR="00000000" w:rsidRPr="00000000">
        <w:rPr>
          <w:rtl w:val="0"/>
        </w:rPr>
      </w:r>
    </w:p>
    <w:p w:rsidR="00000000" w:rsidDel="00000000" w:rsidP="00000000" w:rsidRDefault="00000000" w:rsidRPr="00000000" w14:paraId="0000002D">
      <w:pPr>
        <w:spacing w:after="80" w:before="240" w:line="360" w:lineRule="auto"/>
        <w:jc w:val="both"/>
        <w:rPr>
          <w:rFonts w:ascii="Arial" w:cs="Arial" w:eastAsia="Arial" w:hAnsi="Arial"/>
          <w:sz w:val="22"/>
          <w:szCs w:val="22"/>
        </w:rPr>
      </w:pPr>
      <w:r w:rsidDel="00000000" w:rsidR="00000000" w:rsidRPr="00000000">
        <w:rPr>
          <w:rtl w:val="0"/>
        </w:rPr>
      </w:r>
    </w:p>
    <w:sectPr>
      <w:headerReference r:id="rId9" w:type="default"/>
      <w:headerReference r:id="rId10" w:type="even"/>
      <w:footerReference r:id="rId11" w:type="default"/>
      <w:pgSz w:h="16838" w:w="11906" w:orient="portrait"/>
      <w:pgMar w:bottom="816" w:top="2155" w:left="851" w:right="84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73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77697" cy="1324800"/>
          <wp:effectExtent b="0" l="0" r="0" t="0"/>
          <wp:docPr descr="Immagine che contiene testo, Carattere, linea, schermata&#10;&#10;Descrizione generata automaticamente" id="1" name="image2.jpg"/>
          <a:graphic>
            <a:graphicData uri="http://schemas.openxmlformats.org/drawingml/2006/picture">
              <pic:pic>
                <pic:nvPicPr>
                  <pic:cNvPr descr="Immagine che contiene testo, Carattere, linea, schermata&#10;&#10;Descrizione generata automaticamente" id="0" name="image2.jpg"/>
                  <pic:cNvPicPr preferRelativeResize="0"/>
                </pic:nvPicPr>
                <pic:blipFill>
                  <a:blip r:embed="rId1"/>
                  <a:srcRect b="0" l="0" r="0" t="0"/>
                  <a:stretch>
                    <a:fillRect/>
                  </a:stretch>
                </pic:blipFill>
                <pic:spPr>
                  <a:xfrm>
                    <a:off x="0" y="0"/>
                    <a:ext cx="7577697" cy="13248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u w:val="single"/>
            <w:rtl w:val="0"/>
          </w:rPr>
          <w:t xml:space="preserve">https://eur-lex.europa.eu/legal-content/IT/TXT/PDF/?uri=CELEX:52021XC0218(01)&amp;from=IT</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720" w:line="240" w:lineRule="auto"/>
      <w:ind w:left="0" w:right="0" w:firstLine="0"/>
      <w:jc w:val="right"/>
      <w:rPr>
        <w:rFonts w:ascii="Montserrat" w:cs="Montserrat" w:eastAsia="Montserrat" w:hAnsi="Montserrat"/>
        <w:b w:val="1"/>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565" w:hanging="709"/>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7182261" cy="96080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82261" cy="96080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ind w:left="432" w:hanging="432"/>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ind w:left="576" w:hanging="576"/>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ind w:left="720" w:hanging="720"/>
    </w:pPr>
    <w:rPr>
      <w:rFonts w:ascii="Calibri" w:cs="Calibri" w:eastAsia="Calibri" w:hAnsi="Calibri"/>
      <w:color w:val="1f3863"/>
    </w:rPr>
  </w:style>
  <w:style w:type="paragraph" w:styleId="Heading4">
    <w:name w:val="heading 4"/>
    <w:basedOn w:val="Normal"/>
    <w:next w:val="Normal"/>
    <w:pPr>
      <w:keepNext w:val="1"/>
      <w:keepLines w:val="1"/>
      <w:spacing w:before="40" w:lineRule="auto"/>
      <w:ind w:left="864" w:hanging="864"/>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ind w:left="1008" w:hanging="1008"/>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eur-lex.europa.eu/legal-content/IT/TXT/PDF/?uri=CELEX:52021XC0218(01)&amp;from=IT" TargetMode="External"/><Relationship Id="rId8" Type="http://schemas.openxmlformats.org/officeDocument/2006/relationships/hyperlink" Target="https://eur-lex.europa.eu/legal-content/IT/TXT/PDF/?uri=CELEX:52021XC0218(01)&amp;from=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PDF/?uri=CELEX:52021XC0218(01)&amp;fr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0x0101004D50CA79A3B2CF4CA60726404D752F3F</vt:lpwstr>
  </property>
</Properties>
</file>