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5D5FE" w14:textId="77777777" w:rsidR="00352FAA" w:rsidRDefault="00352FAA"/>
    <w:p w14:paraId="5A3F5C1F" w14:textId="77777777" w:rsidR="00463F3C" w:rsidRPr="00463F3C" w:rsidRDefault="00463F3C" w:rsidP="000A093F">
      <w:pPr>
        <w:spacing w:before="5000"/>
        <w:jc w:val="center"/>
        <w:rPr>
          <w:rFonts w:asciiTheme="majorHAnsi" w:eastAsia="Times New Roman" w:hAnsiTheme="majorHAnsi" w:cstheme="majorHAnsi"/>
          <w:b/>
          <w:sz w:val="36"/>
          <w:szCs w:val="36"/>
          <w:lang w:eastAsia="it-IT"/>
        </w:rPr>
      </w:pPr>
      <w:r w:rsidRPr="00463F3C">
        <w:rPr>
          <w:rFonts w:asciiTheme="majorHAnsi" w:eastAsia="Times New Roman" w:hAnsiTheme="majorHAnsi" w:cstheme="majorHAnsi"/>
          <w:b/>
          <w:sz w:val="36"/>
          <w:szCs w:val="36"/>
          <w:lang w:eastAsia="it-IT"/>
        </w:rPr>
        <w:t>SCHEDA DI AUTOVALUTAZIONE DI ATENEO</w:t>
      </w:r>
    </w:p>
    <w:p w14:paraId="4BBDEBDA" w14:textId="77777777" w:rsidR="00463F3C" w:rsidRPr="00463F3C" w:rsidRDefault="00463F3C" w:rsidP="00463F3C">
      <w:pPr>
        <w:rPr>
          <w:rFonts w:asciiTheme="majorHAnsi" w:eastAsia="Times New Roman" w:hAnsiTheme="majorHAnsi" w:cstheme="majorHAnsi"/>
          <w:i/>
          <w:lang w:eastAsia="it-IT"/>
        </w:rPr>
      </w:pPr>
      <w:r w:rsidRPr="00463F3C">
        <w:rPr>
          <w:rFonts w:asciiTheme="majorHAnsi" w:eastAsia="Times New Roman" w:hAnsiTheme="majorHAnsi" w:cstheme="majorHAnsi"/>
          <w:i/>
          <w:color w:val="00B050"/>
          <w:lang w:eastAsia="it-IT"/>
        </w:rPr>
        <w:br w:type="page"/>
      </w:r>
    </w:p>
    <w:p w14:paraId="500DD4D3" w14:textId="77777777" w:rsidR="000A093F" w:rsidRDefault="000A093F" w:rsidP="00463F3C">
      <w:pPr>
        <w:autoSpaceDE w:val="0"/>
        <w:autoSpaceDN w:val="0"/>
        <w:adjustRightInd w:val="0"/>
        <w:spacing w:after="120" w:line="264" w:lineRule="auto"/>
        <w:jc w:val="both"/>
        <w:rPr>
          <w:rFonts w:ascii="Arial" w:eastAsia="Times New Roman" w:hAnsi="Arial" w:cs="Arial"/>
          <w:bCs/>
          <w:position w:val="-1"/>
          <w:sz w:val="20"/>
          <w:szCs w:val="20"/>
          <w:lang w:eastAsia="it-IT"/>
        </w:rPr>
      </w:pPr>
    </w:p>
    <w:p w14:paraId="3DAA7932" w14:textId="77777777" w:rsidR="00463F3C" w:rsidRDefault="000A093F" w:rsidP="00463F3C">
      <w:pPr>
        <w:autoSpaceDE w:val="0"/>
        <w:autoSpaceDN w:val="0"/>
        <w:adjustRightInd w:val="0"/>
        <w:spacing w:after="120" w:line="264" w:lineRule="auto"/>
        <w:jc w:val="both"/>
        <w:rPr>
          <w:rFonts w:ascii="Arial" w:eastAsia="Times New Roman" w:hAnsi="Arial" w:cs="Arial"/>
          <w:bCs/>
          <w:position w:val="-1"/>
          <w:sz w:val="20"/>
          <w:szCs w:val="20"/>
          <w:lang w:eastAsia="it-IT"/>
        </w:rPr>
      </w:pPr>
      <w:r w:rsidRPr="000A093F">
        <w:rPr>
          <w:rFonts w:ascii="Arial" w:eastAsia="Times New Roman" w:hAnsi="Arial" w:cs="Arial"/>
          <w:bCs/>
          <w:i/>
          <w:position w:val="-1"/>
          <w:sz w:val="20"/>
          <w:szCs w:val="20"/>
          <w:lang w:eastAsia="it-IT"/>
        </w:rPr>
        <w:t>I</w:t>
      </w:r>
      <w:r w:rsidR="00463F3C" w:rsidRPr="00463F3C">
        <w:rPr>
          <w:rFonts w:ascii="Arial" w:eastAsia="Times New Roman" w:hAnsi="Arial" w:cs="Arial"/>
          <w:bCs/>
          <w:i/>
          <w:position w:val="-1"/>
          <w:sz w:val="20"/>
          <w:szCs w:val="20"/>
          <w:lang w:eastAsia="it-IT"/>
        </w:rPr>
        <w:t>ndicare</w:t>
      </w:r>
      <w:r w:rsidR="00463F3C" w:rsidRPr="00463F3C">
        <w:rPr>
          <w:rFonts w:ascii="Arial" w:eastAsia="Times New Roman" w:hAnsi="Arial" w:cs="Arial"/>
          <w:bCs/>
          <w:position w:val="-1"/>
          <w:sz w:val="20"/>
          <w:szCs w:val="20"/>
          <w:lang w:eastAsia="it-IT"/>
        </w:rPr>
        <w:t xml:space="preserve"> </w:t>
      </w:r>
      <w:r w:rsidR="00463F3C" w:rsidRPr="00463F3C">
        <w:rPr>
          <w:rFonts w:ascii="Arial" w:eastAsia="Times New Roman" w:hAnsi="Arial" w:cs="Arial"/>
          <w:bCs/>
          <w:i/>
          <w:position w:val="-1"/>
          <w:sz w:val="20"/>
          <w:szCs w:val="20"/>
          <w:lang w:eastAsia="it-IT"/>
        </w:rPr>
        <w:t xml:space="preserve">i </w:t>
      </w:r>
      <w:r w:rsidR="00463F3C" w:rsidRPr="00463F3C">
        <w:rPr>
          <w:rFonts w:ascii="Arial" w:eastAsia="Times New Roman" w:hAnsi="Arial" w:cs="Arial"/>
          <w:b/>
          <w:bCs/>
          <w:i/>
          <w:position w:val="-1"/>
          <w:sz w:val="20"/>
          <w:szCs w:val="20"/>
          <w:lang w:eastAsia="it-IT"/>
        </w:rPr>
        <w:t>nominativi</w:t>
      </w:r>
      <w:r w:rsidR="00463F3C" w:rsidRPr="00463F3C">
        <w:rPr>
          <w:rFonts w:ascii="Arial" w:eastAsia="Times New Roman" w:hAnsi="Arial" w:cs="Arial"/>
          <w:bCs/>
          <w:i/>
          <w:position w:val="-1"/>
          <w:sz w:val="20"/>
          <w:szCs w:val="20"/>
          <w:lang w:eastAsia="it-IT"/>
        </w:rPr>
        <w:t xml:space="preserve"> e i </w:t>
      </w:r>
      <w:r w:rsidR="00463F3C" w:rsidRPr="00463F3C">
        <w:rPr>
          <w:rFonts w:ascii="Arial" w:eastAsia="Times New Roman" w:hAnsi="Arial" w:cs="Arial"/>
          <w:b/>
          <w:bCs/>
          <w:i/>
          <w:position w:val="-1"/>
          <w:sz w:val="20"/>
          <w:szCs w:val="20"/>
          <w:lang w:eastAsia="it-IT"/>
        </w:rPr>
        <w:t>ruoli</w:t>
      </w:r>
      <w:r w:rsidR="00463F3C" w:rsidRPr="00463F3C">
        <w:rPr>
          <w:rFonts w:ascii="Arial" w:eastAsia="Times New Roman" w:hAnsi="Arial" w:cs="Arial"/>
          <w:bCs/>
          <w:i/>
          <w:position w:val="-1"/>
          <w:sz w:val="20"/>
          <w:szCs w:val="20"/>
          <w:lang w:eastAsia="it-IT"/>
        </w:rPr>
        <w:t xml:space="preserve"> ricoperti in Ateneo d</w:t>
      </w:r>
      <w:r w:rsidR="00387B60">
        <w:rPr>
          <w:rFonts w:ascii="Arial" w:eastAsia="Times New Roman" w:hAnsi="Arial" w:cs="Arial"/>
          <w:bCs/>
          <w:i/>
          <w:position w:val="-1"/>
          <w:sz w:val="20"/>
          <w:szCs w:val="20"/>
          <w:lang w:eastAsia="it-IT"/>
        </w:rPr>
        <w:t>a</w:t>
      </w:r>
      <w:r w:rsidR="00463F3C" w:rsidRPr="00463F3C">
        <w:rPr>
          <w:rFonts w:ascii="Arial" w:eastAsia="Times New Roman" w:hAnsi="Arial" w:cs="Arial"/>
          <w:bCs/>
          <w:i/>
          <w:position w:val="-1"/>
          <w:sz w:val="20"/>
          <w:szCs w:val="20"/>
          <w:lang w:eastAsia="it-IT"/>
        </w:rPr>
        <w:t>lle persone che co</w:t>
      </w:r>
      <w:r w:rsidR="00387B60">
        <w:rPr>
          <w:rFonts w:ascii="Arial" w:eastAsia="Times New Roman" w:hAnsi="Arial" w:cs="Arial"/>
          <w:bCs/>
          <w:i/>
          <w:position w:val="-1"/>
          <w:sz w:val="20"/>
          <w:szCs w:val="20"/>
          <w:lang w:eastAsia="it-IT"/>
        </w:rPr>
        <w:t>ordinano il Gruppo di Lavoro per l’autovalutazione nei</w:t>
      </w:r>
      <w:r w:rsidR="00463F3C" w:rsidRPr="00463F3C">
        <w:rPr>
          <w:rFonts w:ascii="Arial" w:eastAsia="Times New Roman" w:hAnsi="Arial" w:cs="Arial"/>
          <w:bCs/>
          <w:i/>
          <w:position w:val="-1"/>
          <w:sz w:val="20"/>
          <w:szCs w:val="20"/>
          <w:lang w:eastAsia="it-IT"/>
        </w:rPr>
        <w:t xml:space="preserve"> </w:t>
      </w:r>
      <w:r w:rsidR="00463F3C" w:rsidRPr="00463F3C">
        <w:rPr>
          <w:rFonts w:ascii="Arial" w:eastAsia="Times New Roman" w:hAnsi="Arial" w:cs="Arial"/>
          <w:i/>
          <w:iCs/>
          <w:color w:val="000000"/>
          <w:sz w:val="20"/>
          <w:szCs w:val="20"/>
          <w:lang w:eastAsia="it-IT"/>
        </w:rPr>
        <w:t>diversi ambiti della scheda</w:t>
      </w:r>
      <w:r w:rsidR="00463F3C" w:rsidRPr="00463F3C">
        <w:rPr>
          <w:rFonts w:ascii="Arial" w:eastAsia="Times New Roman" w:hAnsi="Arial" w:cs="Arial"/>
          <w:bCs/>
          <w:i/>
          <w:position w:val="-1"/>
          <w:sz w:val="20"/>
          <w:szCs w:val="20"/>
          <w:lang w:eastAsia="it-IT"/>
        </w:rPr>
        <w:t>. Riportare inoltre la data di approvazione della Scheda di Autovalutazione in Senato Accademico</w:t>
      </w:r>
      <w:r w:rsidR="00463F3C" w:rsidRPr="00463F3C">
        <w:rPr>
          <w:rFonts w:ascii="Arial" w:eastAsia="Times New Roman" w:hAnsi="Arial" w:cs="Arial"/>
          <w:bCs/>
          <w:position w:val="-1"/>
          <w:sz w:val="20"/>
          <w:szCs w:val="20"/>
          <w:lang w:eastAsia="it-IT"/>
        </w:rPr>
        <w:t>.</w:t>
      </w:r>
    </w:p>
    <w:p w14:paraId="4FF84523" w14:textId="77777777" w:rsidR="00143949" w:rsidRDefault="00143949" w:rsidP="00463F3C">
      <w:pPr>
        <w:autoSpaceDE w:val="0"/>
        <w:autoSpaceDN w:val="0"/>
        <w:adjustRightInd w:val="0"/>
        <w:spacing w:after="120" w:line="264" w:lineRule="auto"/>
        <w:jc w:val="both"/>
        <w:rPr>
          <w:rFonts w:ascii="Arial" w:eastAsia="Times New Roman" w:hAnsi="Arial" w:cs="Arial"/>
          <w:bCs/>
          <w:position w:val="-1"/>
          <w:sz w:val="20"/>
          <w:szCs w:val="20"/>
          <w:lang w:eastAsia="it-IT"/>
        </w:rPr>
      </w:pPr>
    </w:p>
    <w:p w14:paraId="02811E9E" w14:textId="77777777" w:rsidR="00143949" w:rsidRDefault="00143949" w:rsidP="00463F3C">
      <w:pPr>
        <w:autoSpaceDE w:val="0"/>
        <w:autoSpaceDN w:val="0"/>
        <w:adjustRightInd w:val="0"/>
        <w:spacing w:after="120" w:line="264" w:lineRule="auto"/>
        <w:jc w:val="both"/>
        <w:rPr>
          <w:rFonts w:ascii="Arial" w:eastAsia="Times New Roman" w:hAnsi="Arial" w:cs="Arial"/>
          <w:bCs/>
          <w:position w:val="-1"/>
          <w:sz w:val="20"/>
          <w:szCs w:val="20"/>
          <w:lang w:eastAsia="it-IT"/>
        </w:rPr>
      </w:pPr>
    </w:p>
    <w:p w14:paraId="2E805124" w14:textId="77777777" w:rsidR="00143949" w:rsidRPr="00463F3C" w:rsidRDefault="00143949" w:rsidP="00463F3C">
      <w:pPr>
        <w:autoSpaceDE w:val="0"/>
        <w:autoSpaceDN w:val="0"/>
        <w:adjustRightInd w:val="0"/>
        <w:spacing w:after="120" w:line="264" w:lineRule="auto"/>
        <w:jc w:val="both"/>
        <w:rPr>
          <w:rFonts w:ascii="Arial" w:eastAsia="Times New Roman" w:hAnsi="Arial" w:cs="Arial"/>
          <w:bCs/>
          <w:position w:val="-1"/>
          <w:sz w:val="20"/>
          <w:szCs w:val="20"/>
          <w:lang w:eastAsia="it-IT"/>
        </w:rPr>
      </w:pPr>
    </w:p>
    <w:p w14:paraId="0BB59F56" w14:textId="77777777" w:rsidR="00143949" w:rsidRDefault="00463F3C" w:rsidP="00172300">
      <w:pPr>
        <w:numPr>
          <w:ilvl w:val="0"/>
          <w:numId w:val="13"/>
        </w:numPr>
        <w:pBdr>
          <w:top w:val="single" w:sz="4" w:space="1" w:color="auto"/>
          <w:left w:val="single" w:sz="4" w:space="15" w:color="auto"/>
          <w:bottom w:val="single" w:sz="4" w:space="1" w:color="auto"/>
          <w:right w:val="single" w:sz="4" w:space="4" w:color="auto"/>
        </w:pBdr>
        <w:spacing w:after="0" w:line="360" w:lineRule="auto"/>
        <w:ind w:left="714" w:hanging="357"/>
        <w:rPr>
          <w:rFonts w:ascii="Arial" w:eastAsia="Times New Roman" w:hAnsi="Arial" w:cs="Arial"/>
          <w:b/>
          <w:bCs/>
          <w:sz w:val="20"/>
          <w:szCs w:val="20"/>
          <w:lang w:eastAsia="it-IT"/>
        </w:rPr>
      </w:pPr>
      <w:bookmarkStart w:id="0" w:name="_Hlk169794142"/>
      <w:r w:rsidRPr="00463F3C">
        <w:rPr>
          <w:rFonts w:ascii="Arial" w:eastAsia="Times New Roman" w:hAnsi="Arial" w:cs="Arial"/>
          <w:b/>
          <w:bCs/>
          <w:sz w:val="20"/>
          <w:szCs w:val="20"/>
          <w:lang w:eastAsia="it-IT"/>
        </w:rPr>
        <w:t xml:space="preserve">Ambito A: </w:t>
      </w:r>
    </w:p>
    <w:p w14:paraId="51AE54C6" w14:textId="77777777" w:rsidR="00463F3C" w:rsidRPr="00463F3C" w:rsidRDefault="00143949" w:rsidP="00172300">
      <w:pPr>
        <w:pBdr>
          <w:top w:val="single" w:sz="4" w:space="1" w:color="auto"/>
          <w:left w:val="single" w:sz="4" w:space="15" w:color="auto"/>
          <w:bottom w:val="single" w:sz="4" w:space="1" w:color="auto"/>
          <w:right w:val="single" w:sz="4" w:space="4" w:color="auto"/>
        </w:pBdr>
        <w:spacing w:after="120" w:line="360" w:lineRule="auto"/>
        <w:ind w:left="357"/>
        <w:rPr>
          <w:rFonts w:ascii="Arial" w:eastAsia="Times New Roman" w:hAnsi="Arial" w:cs="Arial"/>
          <w:b/>
          <w:bCs/>
          <w:sz w:val="20"/>
          <w:szCs w:val="20"/>
          <w:lang w:eastAsia="it-IT"/>
        </w:rPr>
      </w:pPr>
      <w:r>
        <w:rPr>
          <w:rFonts w:ascii="Arial" w:eastAsia="Times New Roman" w:hAnsi="Arial" w:cs="Arial"/>
          <w:b/>
          <w:bCs/>
          <w:sz w:val="20"/>
          <w:szCs w:val="20"/>
          <w:lang w:eastAsia="it-IT"/>
        </w:rPr>
        <w:t xml:space="preserve">Nominativo del </w:t>
      </w:r>
      <w:bookmarkStart w:id="1" w:name="_Hlk170126408"/>
      <w:r>
        <w:rPr>
          <w:rFonts w:ascii="Arial" w:eastAsia="Times New Roman" w:hAnsi="Arial" w:cs="Arial"/>
          <w:b/>
          <w:bCs/>
          <w:sz w:val="20"/>
          <w:szCs w:val="20"/>
          <w:lang w:eastAsia="it-IT"/>
        </w:rPr>
        <w:t>co</w:t>
      </w:r>
      <w:r w:rsidR="00387B60">
        <w:rPr>
          <w:rFonts w:ascii="Arial" w:eastAsia="Times New Roman" w:hAnsi="Arial" w:cs="Arial"/>
          <w:b/>
          <w:bCs/>
          <w:sz w:val="20"/>
          <w:szCs w:val="20"/>
          <w:lang w:eastAsia="it-IT"/>
        </w:rPr>
        <w:t>ordinat</w:t>
      </w:r>
      <w:r>
        <w:rPr>
          <w:rFonts w:ascii="Arial" w:eastAsia="Times New Roman" w:hAnsi="Arial" w:cs="Arial"/>
          <w:b/>
          <w:bCs/>
          <w:sz w:val="20"/>
          <w:szCs w:val="20"/>
          <w:lang w:eastAsia="it-IT"/>
        </w:rPr>
        <w:t>ore</w:t>
      </w:r>
      <w:bookmarkEnd w:id="1"/>
      <w:r>
        <w:rPr>
          <w:rFonts w:ascii="Arial" w:eastAsia="Times New Roman" w:hAnsi="Arial" w:cs="Arial"/>
          <w:b/>
          <w:bCs/>
          <w:sz w:val="20"/>
          <w:szCs w:val="20"/>
          <w:lang w:eastAsia="it-IT"/>
        </w:rPr>
        <w:t>:</w:t>
      </w:r>
      <w:r w:rsidR="00172300">
        <w:rPr>
          <w:rFonts w:ascii="Arial" w:eastAsia="Times New Roman" w:hAnsi="Arial" w:cs="Arial"/>
          <w:b/>
          <w:bCs/>
          <w:sz w:val="20"/>
          <w:szCs w:val="20"/>
          <w:lang w:eastAsia="it-IT"/>
        </w:rPr>
        <w:t xml:space="preserve"> </w:t>
      </w:r>
      <w:r>
        <w:rPr>
          <w:rFonts w:ascii="Arial" w:eastAsia="Times New Roman" w:hAnsi="Arial" w:cs="Arial"/>
          <w:b/>
          <w:bCs/>
          <w:sz w:val="20"/>
          <w:szCs w:val="20"/>
          <w:lang w:eastAsia="it-IT"/>
        </w:rPr>
        <w:t>..</w:t>
      </w:r>
      <w:r w:rsidR="00463F3C" w:rsidRPr="00463F3C">
        <w:rPr>
          <w:rFonts w:ascii="Arial" w:eastAsia="Times New Roman" w:hAnsi="Arial" w:cs="Arial"/>
          <w:b/>
          <w:bCs/>
          <w:sz w:val="20"/>
          <w:szCs w:val="20"/>
          <w:lang w:eastAsia="it-IT"/>
        </w:rPr>
        <w:t>…</w:t>
      </w:r>
      <w:r>
        <w:rPr>
          <w:rFonts w:ascii="Arial" w:eastAsia="Times New Roman" w:hAnsi="Arial" w:cs="Arial"/>
          <w:b/>
          <w:bCs/>
          <w:sz w:val="20"/>
          <w:szCs w:val="20"/>
          <w:lang w:eastAsia="it-IT"/>
        </w:rPr>
        <w:t>……………………………</w:t>
      </w:r>
      <w:r w:rsidRPr="00143949">
        <w:rPr>
          <w:rFonts w:ascii="Arial" w:eastAsia="Times New Roman" w:hAnsi="Arial" w:cs="Arial"/>
          <w:b/>
          <w:bCs/>
          <w:sz w:val="20"/>
          <w:szCs w:val="20"/>
          <w:lang w:eastAsia="it-IT"/>
        </w:rPr>
        <w:t xml:space="preserve"> </w:t>
      </w:r>
      <w:r>
        <w:rPr>
          <w:rFonts w:ascii="Arial" w:eastAsia="Times New Roman" w:hAnsi="Arial" w:cs="Arial"/>
          <w:b/>
          <w:bCs/>
          <w:sz w:val="20"/>
          <w:szCs w:val="20"/>
          <w:lang w:eastAsia="it-IT"/>
        </w:rPr>
        <w:t>Ruolo:</w:t>
      </w:r>
      <w:r w:rsidR="00172300">
        <w:rPr>
          <w:rFonts w:ascii="Arial" w:eastAsia="Times New Roman" w:hAnsi="Arial" w:cs="Arial"/>
          <w:b/>
          <w:bCs/>
          <w:sz w:val="20"/>
          <w:szCs w:val="20"/>
          <w:lang w:eastAsia="it-IT"/>
        </w:rPr>
        <w:t xml:space="preserve"> </w:t>
      </w:r>
      <w:r>
        <w:rPr>
          <w:rFonts w:ascii="Arial" w:eastAsia="Times New Roman" w:hAnsi="Arial" w:cs="Arial"/>
          <w:b/>
          <w:bCs/>
          <w:sz w:val="20"/>
          <w:szCs w:val="20"/>
          <w:lang w:eastAsia="it-IT"/>
        </w:rPr>
        <w:t>…………………</w:t>
      </w:r>
      <w:r w:rsidR="00387B60">
        <w:rPr>
          <w:rFonts w:ascii="Arial" w:eastAsia="Times New Roman" w:hAnsi="Arial" w:cs="Arial"/>
          <w:b/>
          <w:bCs/>
          <w:sz w:val="20"/>
          <w:szCs w:val="20"/>
          <w:lang w:eastAsia="it-IT"/>
        </w:rPr>
        <w:t>….</w:t>
      </w:r>
    </w:p>
    <w:p w14:paraId="27F7020E" w14:textId="77777777" w:rsidR="00143949" w:rsidRDefault="00463F3C" w:rsidP="00172300">
      <w:pPr>
        <w:numPr>
          <w:ilvl w:val="0"/>
          <w:numId w:val="13"/>
        </w:numPr>
        <w:pBdr>
          <w:top w:val="single" w:sz="4" w:space="1" w:color="auto"/>
          <w:left w:val="single" w:sz="4" w:space="15" w:color="auto"/>
          <w:bottom w:val="single" w:sz="4" w:space="1" w:color="auto"/>
          <w:right w:val="single" w:sz="4" w:space="4" w:color="auto"/>
        </w:pBdr>
        <w:spacing w:after="0" w:line="360" w:lineRule="auto"/>
        <w:ind w:left="714" w:hanging="357"/>
        <w:rPr>
          <w:rFonts w:ascii="Arial" w:eastAsia="Times New Roman" w:hAnsi="Arial" w:cs="Arial"/>
          <w:b/>
          <w:bCs/>
          <w:sz w:val="20"/>
          <w:szCs w:val="20"/>
          <w:lang w:eastAsia="it-IT"/>
        </w:rPr>
      </w:pPr>
      <w:r w:rsidRPr="00463F3C">
        <w:rPr>
          <w:rFonts w:ascii="Arial" w:eastAsia="Times New Roman" w:hAnsi="Arial" w:cs="Arial"/>
          <w:b/>
          <w:bCs/>
          <w:sz w:val="20"/>
          <w:szCs w:val="20"/>
          <w:lang w:eastAsia="it-IT"/>
        </w:rPr>
        <w:t xml:space="preserve">Ambito B: </w:t>
      </w:r>
    </w:p>
    <w:p w14:paraId="4A16898F" w14:textId="77777777" w:rsidR="00463F3C" w:rsidRPr="00463F3C" w:rsidRDefault="00143949" w:rsidP="00172300">
      <w:pPr>
        <w:pBdr>
          <w:top w:val="single" w:sz="4" w:space="1" w:color="auto"/>
          <w:left w:val="single" w:sz="4" w:space="15" w:color="auto"/>
          <w:bottom w:val="single" w:sz="4" w:space="1" w:color="auto"/>
          <w:right w:val="single" w:sz="4" w:space="4" w:color="auto"/>
        </w:pBdr>
        <w:spacing w:after="120" w:line="360" w:lineRule="auto"/>
        <w:ind w:left="357"/>
        <w:rPr>
          <w:rFonts w:ascii="Arial" w:eastAsia="Times New Roman" w:hAnsi="Arial" w:cs="Arial"/>
          <w:b/>
          <w:bCs/>
          <w:sz w:val="20"/>
          <w:szCs w:val="20"/>
          <w:lang w:eastAsia="it-IT"/>
        </w:rPr>
      </w:pPr>
      <w:r>
        <w:rPr>
          <w:rFonts w:ascii="Arial" w:eastAsia="Times New Roman" w:hAnsi="Arial" w:cs="Arial"/>
          <w:b/>
          <w:bCs/>
          <w:sz w:val="20"/>
          <w:szCs w:val="20"/>
          <w:lang w:eastAsia="it-IT"/>
        </w:rPr>
        <w:t xml:space="preserve">Nominativo del </w:t>
      </w:r>
      <w:r w:rsidR="00387B60">
        <w:rPr>
          <w:rFonts w:ascii="Arial" w:eastAsia="Times New Roman" w:hAnsi="Arial" w:cs="Arial"/>
          <w:b/>
          <w:bCs/>
          <w:sz w:val="20"/>
          <w:szCs w:val="20"/>
          <w:lang w:eastAsia="it-IT"/>
        </w:rPr>
        <w:t>coordinatore</w:t>
      </w:r>
      <w:r>
        <w:rPr>
          <w:rFonts w:ascii="Arial" w:eastAsia="Times New Roman" w:hAnsi="Arial" w:cs="Arial"/>
          <w:b/>
          <w:bCs/>
          <w:sz w:val="20"/>
          <w:szCs w:val="20"/>
          <w:lang w:eastAsia="it-IT"/>
        </w:rPr>
        <w:t>:</w:t>
      </w:r>
      <w:r w:rsidR="00172300">
        <w:rPr>
          <w:rFonts w:ascii="Arial" w:eastAsia="Times New Roman" w:hAnsi="Arial" w:cs="Arial"/>
          <w:b/>
          <w:bCs/>
          <w:sz w:val="20"/>
          <w:szCs w:val="20"/>
          <w:lang w:eastAsia="it-IT"/>
        </w:rPr>
        <w:t xml:space="preserve"> </w:t>
      </w:r>
      <w:r>
        <w:rPr>
          <w:rFonts w:ascii="Arial" w:eastAsia="Times New Roman" w:hAnsi="Arial" w:cs="Arial"/>
          <w:b/>
          <w:bCs/>
          <w:sz w:val="20"/>
          <w:szCs w:val="20"/>
          <w:lang w:eastAsia="it-IT"/>
        </w:rPr>
        <w:t>…………………………….</w:t>
      </w:r>
      <w:r w:rsidR="00463F3C" w:rsidRPr="00463F3C">
        <w:rPr>
          <w:rFonts w:ascii="Arial" w:eastAsia="Times New Roman" w:hAnsi="Arial" w:cs="Arial"/>
          <w:b/>
          <w:bCs/>
          <w:sz w:val="20"/>
          <w:szCs w:val="20"/>
          <w:lang w:eastAsia="it-IT"/>
        </w:rPr>
        <w:t>…</w:t>
      </w:r>
      <w:r w:rsidRPr="00143949">
        <w:rPr>
          <w:rFonts w:ascii="Arial" w:eastAsia="Times New Roman" w:hAnsi="Arial" w:cs="Arial"/>
          <w:b/>
          <w:bCs/>
          <w:sz w:val="20"/>
          <w:szCs w:val="20"/>
          <w:lang w:eastAsia="it-IT"/>
        </w:rPr>
        <w:t xml:space="preserve"> </w:t>
      </w:r>
      <w:r w:rsidR="00387B60">
        <w:rPr>
          <w:rFonts w:ascii="Arial" w:eastAsia="Times New Roman" w:hAnsi="Arial" w:cs="Arial"/>
          <w:b/>
          <w:bCs/>
          <w:sz w:val="20"/>
          <w:szCs w:val="20"/>
          <w:lang w:eastAsia="it-IT"/>
        </w:rPr>
        <w:t xml:space="preserve"> </w:t>
      </w:r>
      <w:r>
        <w:rPr>
          <w:rFonts w:ascii="Arial" w:eastAsia="Times New Roman" w:hAnsi="Arial" w:cs="Arial"/>
          <w:b/>
          <w:bCs/>
          <w:sz w:val="20"/>
          <w:szCs w:val="20"/>
          <w:lang w:eastAsia="it-IT"/>
        </w:rPr>
        <w:t>Ruolo:</w:t>
      </w:r>
      <w:r w:rsidR="00172300">
        <w:rPr>
          <w:rFonts w:ascii="Arial" w:eastAsia="Times New Roman" w:hAnsi="Arial" w:cs="Arial"/>
          <w:b/>
          <w:bCs/>
          <w:sz w:val="20"/>
          <w:szCs w:val="20"/>
          <w:lang w:eastAsia="it-IT"/>
        </w:rPr>
        <w:t xml:space="preserve"> </w:t>
      </w:r>
      <w:r>
        <w:rPr>
          <w:rFonts w:ascii="Arial" w:eastAsia="Times New Roman" w:hAnsi="Arial" w:cs="Arial"/>
          <w:b/>
          <w:bCs/>
          <w:sz w:val="20"/>
          <w:szCs w:val="20"/>
          <w:lang w:eastAsia="it-IT"/>
        </w:rPr>
        <w:t>…………………</w:t>
      </w:r>
      <w:r w:rsidR="00387B60">
        <w:rPr>
          <w:rFonts w:ascii="Arial" w:eastAsia="Times New Roman" w:hAnsi="Arial" w:cs="Arial"/>
          <w:b/>
          <w:bCs/>
          <w:sz w:val="20"/>
          <w:szCs w:val="20"/>
          <w:lang w:eastAsia="it-IT"/>
        </w:rPr>
        <w:t>….</w:t>
      </w:r>
    </w:p>
    <w:p w14:paraId="5DA80ECF" w14:textId="77777777" w:rsidR="00463F3C" w:rsidRDefault="00463F3C" w:rsidP="00172300">
      <w:pPr>
        <w:numPr>
          <w:ilvl w:val="0"/>
          <w:numId w:val="13"/>
        </w:numPr>
        <w:pBdr>
          <w:top w:val="single" w:sz="4" w:space="1" w:color="auto"/>
          <w:left w:val="single" w:sz="4" w:space="15" w:color="auto"/>
          <w:bottom w:val="single" w:sz="4" w:space="1" w:color="auto"/>
          <w:right w:val="single" w:sz="4" w:space="4" w:color="auto"/>
        </w:pBdr>
        <w:spacing w:after="0" w:line="360" w:lineRule="auto"/>
        <w:ind w:left="714" w:hanging="357"/>
        <w:rPr>
          <w:rFonts w:ascii="Arial" w:eastAsia="Times New Roman" w:hAnsi="Arial" w:cs="Arial"/>
          <w:b/>
          <w:bCs/>
          <w:sz w:val="20"/>
          <w:szCs w:val="20"/>
          <w:lang w:eastAsia="it-IT"/>
        </w:rPr>
      </w:pPr>
      <w:r w:rsidRPr="00463F3C">
        <w:rPr>
          <w:rFonts w:ascii="Arial" w:eastAsia="Times New Roman" w:hAnsi="Arial" w:cs="Arial"/>
          <w:b/>
          <w:bCs/>
          <w:sz w:val="20"/>
          <w:szCs w:val="20"/>
          <w:lang w:eastAsia="it-IT"/>
        </w:rPr>
        <w:t>Ambito C: …</w:t>
      </w:r>
    </w:p>
    <w:p w14:paraId="134D0F91" w14:textId="77777777" w:rsidR="00143949" w:rsidRPr="00463F3C" w:rsidRDefault="00143949" w:rsidP="00172300">
      <w:pPr>
        <w:pBdr>
          <w:top w:val="single" w:sz="4" w:space="1" w:color="auto"/>
          <w:left w:val="single" w:sz="4" w:space="15" w:color="auto"/>
          <w:bottom w:val="single" w:sz="4" w:space="1" w:color="auto"/>
          <w:right w:val="single" w:sz="4" w:space="4" w:color="auto"/>
        </w:pBdr>
        <w:spacing w:after="120" w:line="360" w:lineRule="auto"/>
        <w:ind w:left="357"/>
        <w:rPr>
          <w:rFonts w:ascii="Arial" w:eastAsia="Times New Roman" w:hAnsi="Arial" w:cs="Arial"/>
          <w:b/>
          <w:bCs/>
          <w:sz w:val="20"/>
          <w:szCs w:val="20"/>
          <w:lang w:eastAsia="it-IT"/>
        </w:rPr>
      </w:pPr>
      <w:r>
        <w:rPr>
          <w:rFonts w:ascii="Arial" w:eastAsia="Times New Roman" w:hAnsi="Arial" w:cs="Arial"/>
          <w:b/>
          <w:bCs/>
          <w:sz w:val="20"/>
          <w:szCs w:val="20"/>
          <w:lang w:eastAsia="it-IT"/>
        </w:rPr>
        <w:t xml:space="preserve">Nominativo del </w:t>
      </w:r>
      <w:r w:rsidR="00387B60">
        <w:rPr>
          <w:rFonts w:ascii="Arial" w:eastAsia="Times New Roman" w:hAnsi="Arial" w:cs="Arial"/>
          <w:b/>
          <w:bCs/>
          <w:sz w:val="20"/>
          <w:szCs w:val="20"/>
          <w:lang w:eastAsia="it-IT"/>
        </w:rPr>
        <w:t>coordinatore</w:t>
      </w:r>
      <w:r>
        <w:rPr>
          <w:rFonts w:ascii="Arial" w:eastAsia="Times New Roman" w:hAnsi="Arial" w:cs="Arial"/>
          <w:b/>
          <w:bCs/>
          <w:sz w:val="20"/>
          <w:szCs w:val="20"/>
          <w:lang w:eastAsia="it-IT"/>
        </w:rPr>
        <w:t>:</w:t>
      </w:r>
      <w:r w:rsidR="00172300">
        <w:rPr>
          <w:rFonts w:ascii="Arial" w:eastAsia="Times New Roman" w:hAnsi="Arial" w:cs="Arial"/>
          <w:b/>
          <w:bCs/>
          <w:sz w:val="20"/>
          <w:szCs w:val="20"/>
          <w:lang w:eastAsia="it-IT"/>
        </w:rPr>
        <w:t xml:space="preserve"> </w:t>
      </w:r>
      <w:r w:rsidR="0075363B">
        <w:rPr>
          <w:rFonts w:ascii="Arial" w:eastAsia="Times New Roman" w:hAnsi="Arial" w:cs="Arial"/>
          <w:b/>
          <w:bCs/>
          <w:sz w:val="20"/>
          <w:szCs w:val="20"/>
          <w:lang w:eastAsia="it-IT"/>
        </w:rPr>
        <w:t>prof. DARIO PETRI</w:t>
      </w:r>
      <w:r w:rsidR="0075363B">
        <w:rPr>
          <w:rFonts w:ascii="Arial" w:eastAsia="Times New Roman" w:hAnsi="Arial" w:cs="Arial"/>
          <w:b/>
          <w:bCs/>
          <w:sz w:val="20"/>
          <w:szCs w:val="20"/>
          <w:lang w:eastAsia="it-IT"/>
        </w:rPr>
        <w:tab/>
        <w:t xml:space="preserve"> </w:t>
      </w:r>
      <w:r w:rsidR="00387B60">
        <w:rPr>
          <w:rFonts w:ascii="Arial" w:eastAsia="Times New Roman" w:hAnsi="Arial" w:cs="Arial"/>
          <w:b/>
          <w:bCs/>
          <w:sz w:val="20"/>
          <w:szCs w:val="20"/>
          <w:lang w:eastAsia="it-IT"/>
        </w:rPr>
        <w:t xml:space="preserve"> </w:t>
      </w:r>
      <w:r>
        <w:rPr>
          <w:rFonts w:ascii="Arial" w:eastAsia="Times New Roman" w:hAnsi="Arial" w:cs="Arial"/>
          <w:b/>
          <w:bCs/>
          <w:sz w:val="20"/>
          <w:szCs w:val="20"/>
          <w:lang w:eastAsia="it-IT"/>
        </w:rPr>
        <w:t>Ruolo:</w:t>
      </w:r>
      <w:r w:rsidR="00172300">
        <w:rPr>
          <w:rFonts w:ascii="Arial" w:eastAsia="Times New Roman" w:hAnsi="Arial" w:cs="Arial"/>
          <w:b/>
          <w:bCs/>
          <w:sz w:val="20"/>
          <w:szCs w:val="20"/>
          <w:lang w:eastAsia="it-IT"/>
        </w:rPr>
        <w:t xml:space="preserve"> </w:t>
      </w:r>
      <w:r w:rsidR="0075363B">
        <w:rPr>
          <w:rFonts w:ascii="Arial" w:eastAsia="Times New Roman" w:hAnsi="Arial" w:cs="Arial"/>
          <w:b/>
          <w:bCs/>
          <w:sz w:val="20"/>
          <w:szCs w:val="20"/>
          <w:lang w:eastAsia="it-IT"/>
        </w:rPr>
        <w:t>PRESIDENTE PQA</w:t>
      </w:r>
    </w:p>
    <w:p w14:paraId="0E5AE487" w14:textId="77777777" w:rsidR="00143949" w:rsidRDefault="00463F3C" w:rsidP="00172300">
      <w:pPr>
        <w:numPr>
          <w:ilvl w:val="0"/>
          <w:numId w:val="13"/>
        </w:numPr>
        <w:pBdr>
          <w:top w:val="single" w:sz="4" w:space="1" w:color="auto"/>
          <w:left w:val="single" w:sz="4" w:space="15" w:color="auto"/>
          <w:bottom w:val="single" w:sz="4" w:space="1" w:color="auto"/>
          <w:right w:val="single" w:sz="4" w:space="4" w:color="auto"/>
        </w:pBdr>
        <w:spacing w:after="0" w:line="360" w:lineRule="auto"/>
        <w:ind w:left="714" w:hanging="357"/>
        <w:rPr>
          <w:rFonts w:ascii="Arial" w:eastAsia="Times New Roman" w:hAnsi="Arial" w:cs="Arial"/>
          <w:b/>
          <w:bCs/>
          <w:sz w:val="20"/>
          <w:szCs w:val="20"/>
          <w:lang w:eastAsia="it-IT"/>
        </w:rPr>
      </w:pPr>
      <w:r w:rsidRPr="00463F3C">
        <w:rPr>
          <w:rFonts w:ascii="Arial" w:eastAsia="Times New Roman" w:hAnsi="Arial" w:cs="Arial"/>
          <w:b/>
          <w:bCs/>
          <w:sz w:val="20"/>
          <w:szCs w:val="20"/>
          <w:lang w:eastAsia="it-IT"/>
        </w:rPr>
        <w:t xml:space="preserve">Ambito D: </w:t>
      </w:r>
    </w:p>
    <w:p w14:paraId="4FFDC105" w14:textId="77777777" w:rsidR="00463F3C" w:rsidRPr="00463F3C" w:rsidRDefault="00143949" w:rsidP="00172300">
      <w:pPr>
        <w:pBdr>
          <w:top w:val="single" w:sz="4" w:space="1" w:color="auto"/>
          <w:left w:val="single" w:sz="4" w:space="15" w:color="auto"/>
          <w:bottom w:val="single" w:sz="4" w:space="1" w:color="auto"/>
          <w:right w:val="single" w:sz="4" w:space="4" w:color="auto"/>
        </w:pBdr>
        <w:spacing w:after="120" w:line="360" w:lineRule="auto"/>
        <w:ind w:left="357"/>
        <w:rPr>
          <w:rFonts w:ascii="Arial" w:eastAsia="Times New Roman" w:hAnsi="Arial" w:cs="Arial"/>
          <w:b/>
          <w:bCs/>
          <w:sz w:val="20"/>
          <w:szCs w:val="20"/>
          <w:lang w:eastAsia="it-IT"/>
        </w:rPr>
      </w:pPr>
      <w:bookmarkStart w:id="2" w:name="_Hlk169793373"/>
      <w:r>
        <w:rPr>
          <w:rFonts w:ascii="Arial" w:eastAsia="Times New Roman" w:hAnsi="Arial" w:cs="Arial"/>
          <w:b/>
          <w:bCs/>
          <w:sz w:val="20"/>
          <w:szCs w:val="20"/>
          <w:lang w:eastAsia="it-IT"/>
        </w:rPr>
        <w:t>Nominativo del c</w:t>
      </w:r>
      <w:r w:rsidR="00387B60" w:rsidRPr="00387B60">
        <w:rPr>
          <w:rFonts w:ascii="Arial" w:eastAsia="Times New Roman" w:hAnsi="Arial" w:cs="Arial"/>
          <w:b/>
          <w:bCs/>
          <w:sz w:val="20"/>
          <w:szCs w:val="20"/>
          <w:lang w:eastAsia="it-IT"/>
        </w:rPr>
        <w:t xml:space="preserve"> </w:t>
      </w:r>
      <w:r w:rsidR="00387B60">
        <w:rPr>
          <w:rFonts w:ascii="Arial" w:eastAsia="Times New Roman" w:hAnsi="Arial" w:cs="Arial"/>
          <w:b/>
          <w:bCs/>
          <w:sz w:val="20"/>
          <w:szCs w:val="20"/>
          <w:lang w:eastAsia="it-IT"/>
        </w:rPr>
        <w:t xml:space="preserve">coordinatore </w:t>
      </w:r>
      <w:r>
        <w:rPr>
          <w:rFonts w:ascii="Arial" w:eastAsia="Times New Roman" w:hAnsi="Arial" w:cs="Arial"/>
          <w:b/>
          <w:bCs/>
          <w:sz w:val="20"/>
          <w:szCs w:val="20"/>
          <w:lang w:eastAsia="it-IT"/>
        </w:rPr>
        <w:t>………………………………</w:t>
      </w:r>
      <w:r w:rsidR="00387B60">
        <w:rPr>
          <w:rFonts w:ascii="Arial" w:eastAsia="Times New Roman" w:hAnsi="Arial" w:cs="Arial"/>
          <w:b/>
          <w:bCs/>
          <w:sz w:val="20"/>
          <w:szCs w:val="20"/>
          <w:lang w:eastAsia="it-IT"/>
        </w:rPr>
        <w:t xml:space="preserve">  </w:t>
      </w:r>
      <w:r>
        <w:rPr>
          <w:rFonts w:ascii="Arial" w:eastAsia="Times New Roman" w:hAnsi="Arial" w:cs="Arial"/>
          <w:b/>
          <w:bCs/>
          <w:sz w:val="20"/>
          <w:szCs w:val="20"/>
          <w:lang w:eastAsia="it-IT"/>
        </w:rPr>
        <w:t>Ruolo:</w:t>
      </w:r>
      <w:r w:rsidR="00172300">
        <w:rPr>
          <w:rFonts w:ascii="Arial" w:eastAsia="Times New Roman" w:hAnsi="Arial" w:cs="Arial"/>
          <w:b/>
          <w:bCs/>
          <w:sz w:val="20"/>
          <w:szCs w:val="20"/>
          <w:lang w:eastAsia="it-IT"/>
        </w:rPr>
        <w:t xml:space="preserve"> </w:t>
      </w:r>
      <w:r w:rsidR="00463F3C" w:rsidRPr="00463F3C">
        <w:rPr>
          <w:rFonts w:ascii="Arial" w:eastAsia="Times New Roman" w:hAnsi="Arial" w:cs="Arial"/>
          <w:b/>
          <w:bCs/>
          <w:sz w:val="20"/>
          <w:szCs w:val="20"/>
          <w:lang w:eastAsia="it-IT"/>
        </w:rPr>
        <w:t>…</w:t>
      </w:r>
      <w:r>
        <w:rPr>
          <w:rFonts w:ascii="Arial" w:eastAsia="Times New Roman" w:hAnsi="Arial" w:cs="Arial"/>
          <w:b/>
          <w:bCs/>
          <w:sz w:val="20"/>
          <w:szCs w:val="20"/>
          <w:lang w:eastAsia="it-IT"/>
        </w:rPr>
        <w:t>……………</w:t>
      </w:r>
      <w:bookmarkEnd w:id="2"/>
      <w:r w:rsidR="00172300">
        <w:rPr>
          <w:rFonts w:ascii="Arial" w:eastAsia="Times New Roman" w:hAnsi="Arial" w:cs="Arial"/>
          <w:b/>
          <w:bCs/>
          <w:sz w:val="20"/>
          <w:szCs w:val="20"/>
          <w:lang w:eastAsia="it-IT"/>
        </w:rPr>
        <w:t>……</w:t>
      </w:r>
    </w:p>
    <w:p w14:paraId="54E2BC93" w14:textId="77777777" w:rsidR="00143949" w:rsidRDefault="00463F3C" w:rsidP="00172300">
      <w:pPr>
        <w:numPr>
          <w:ilvl w:val="0"/>
          <w:numId w:val="13"/>
        </w:numPr>
        <w:pBdr>
          <w:top w:val="single" w:sz="4" w:space="1" w:color="auto"/>
          <w:left w:val="single" w:sz="4" w:space="15" w:color="auto"/>
          <w:bottom w:val="single" w:sz="4" w:space="1" w:color="auto"/>
          <w:right w:val="single" w:sz="4" w:space="4" w:color="auto"/>
        </w:pBdr>
        <w:spacing w:after="0" w:line="360" w:lineRule="auto"/>
        <w:ind w:left="714" w:hanging="357"/>
        <w:rPr>
          <w:rFonts w:ascii="Arial" w:eastAsia="Times New Roman" w:hAnsi="Arial" w:cs="Arial"/>
          <w:b/>
          <w:bCs/>
          <w:sz w:val="20"/>
          <w:szCs w:val="20"/>
          <w:lang w:eastAsia="it-IT"/>
        </w:rPr>
      </w:pPr>
      <w:r w:rsidRPr="00463F3C">
        <w:rPr>
          <w:rFonts w:ascii="Arial" w:eastAsia="Times New Roman" w:hAnsi="Arial" w:cs="Arial"/>
          <w:b/>
          <w:bCs/>
          <w:sz w:val="20"/>
          <w:szCs w:val="20"/>
          <w:lang w:eastAsia="it-IT"/>
        </w:rPr>
        <w:t xml:space="preserve">Ambito E: </w:t>
      </w:r>
    </w:p>
    <w:p w14:paraId="1969327D" w14:textId="77777777" w:rsidR="000F5E99" w:rsidRDefault="00143949" w:rsidP="00172300">
      <w:pPr>
        <w:pBdr>
          <w:top w:val="single" w:sz="4" w:space="1" w:color="auto"/>
          <w:left w:val="single" w:sz="4" w:space="15" w:color="auto"/>
          <w:bottom w:val="single" w:sz="4" w:space="1" w:color="auto"/>
          <w:right w:val="single" w:sz="4" w:space="4" w:color="auto"/>
        </w:pBdr>
        <w:spacing w:after="0" w:line="360" w:lineRule="auto"/>
        <w:ind w:left="357"/>
        <w:rPr>
          <w:rFonts w:ascii="Arial" w:eastAsia="Times New Roman" w:hAnsi="Arial" w:cs="Arial"/>
          <w:b/>
          <w:bCs/>
          <w:sz w:val="20"/>
          <w:szCs w:val="20"/>
          <w:lang w:eastAsia="it-IT"/>
        </w:rPr>
      </w:pPr>
      <w:r>
        <w:rPr>
          <w:rFonts w:ascii="Arial" w:eastAsia="Times New Roman" w:hAnsi="Arial" w:cs="Arial"/>
          <w:b/>
          <w:bCs/>
          <w:sz w:val="20"/>
          <w:szCs w:val="20"/>
          <w:lang w:eastAsia="it-IT"/>
        </w:rPr>
        <w:t xml:space="preserve">Nominativo del </w:t>
      </w:r>
      <w:r w:rsidR="00387B60">
        <w:rPr>
          <w:rFonts w:ascii="Arial" w:eastAsia="Times New Roman" w:hAnsi="Arial" w:cs="Arial"/>
          <w:b/>
          <w:bCs/>
          <w:sz w:val="20"/>
          <w:szCs w:val="20"/>
          <w:lang w:eastAsia="it-IT"/>
        </w:rPr>
        <w:t xml:space="preserve">coordinatore </w:t>
      </w:r>
      <w:r>
        <w:rPr>
          <w:rFonts w:ascii="Arial" w:eastAsia="Times New Roman" w:hAnsi="Arial" w:cs="Arial"/>
          <w:b/>
          <w:bCs/>
          <w:sz w:val="20"/>
          <w:szCs w:val="20"/>
          <w:lang w:eastAsia="it-IT"/>
        </w:rPr>
        <w:t>…………………………………</w:t>
      </w:r>
      <w:r w:rsidR="00387B60">
        <w:rPr>
          <w:rFonts w:ascii="Arial" w:eastAsia="Times New Roman" w:hAnsi="Arial" w:cs="Arial"/>
          <w:b/>
          <w:bCs/>
          <w:sz w:val="20"/>
          <w:szCs w:val="20"/>
          <w:lang w:eastAsia="it-IT"/>
        </w:rPr>
        <w:t xml:space="preserve"> </w:t>
      </w:r>
      <w:r>
        <w:rPr>
          <w:rFonts w:ascii="Arial" w:eastAsia="Times New Roman" w:hAnsi="Arial" w:cs="Arial"/>
          <w:b/>
          <w:bCs/>
          <w:sz w:val="20"/>
          <w:szCs w:val="20"/>
          <w:lang w:eastAsia="it-IT"/>
        </w:rPr>
        <w:t>Ruolo:</w:t>
      </w:r>
      <w:r w:rsidR="00172300">
        <w:rPr>
          <w:rFonts w:ascii="Arial" w:eastAsia="Times New Roman" w:hAnsi="Arial" w:cs="Arial"/>
          <w:b/>
          <w:bCs/>
          <w:sz w:val="20"/>
          <w:szCs w:val="20"/>
          <w:lang w:eastAsia="it-IT"/>
        </w:rPr>
        <w:t xml:space="preserve"> </w:t>
      </w:r>
      <w:r w:rsidRPr="00463F3C">
        <w:rPr>
          <w:rFonts w:ascii="Arial" w:eastAsia="Times New Roman" w:hAnsi="Arial" w:cs="Arial"/>
          <w:b/>
          <w:bCs/>
          <w:sz w:val="20"/>
          <w:szCs w:val="20"/>
          <w:lang w:eastAsia="it-IT"/>
        </w:rPr>
        <w:t>…</w:t>
      </w:r>
      <w:r>
        <w:rPr>
          <w:rFonts w:ascii="Arial" w:eastAsia="Times New Roman" w:hAnsi="Arial" w:cs="Arial"/>
          <w:b/>
          <w:bCs/>
          <w:sz w:val="20"/>
          <w:szCs w:val="20"/>
          <w:lang w:eastAsia="it-IT"/>
        </w:rPr>
        <w:t>………………</w:t>
      </w:r>
      <w:r w:rsidR="00172300">
        <w:rPr>
          <w:rFonts w:ascii="Arial" w:eastAsia="Times New Roman" w:hAnsi="Arial" w:cs="Arial"/>
          <w:b/>
          <w:bCs/>
          <w:sz w:val="20"/>
          <w:szCs w:val="20"/>
          <w:lang w:eastAsia="it-IT"/>
        </w:rPr>
        <w:t>…</w:t>
      </w:r>
    </w:p>
    <w:p w14:paraId="73C2AC24" w14:textId="77777777" w:rsidR="000F5E99" w:rsidRDefault="000F5E99" w:rsidP="00172300">
      <w:pPr>
        <w:pBdr>
          <w:top w:val="single" w:sz="4" w:space="1" w:color="auto"/>
          <w:left w:val="single" w:sz="4" w:space="15" w:color="auto"/>
          <w:bottom w:val="single" w:sz="4" w:space="1" w:color="auto"/>
          <w:right w:val="single" w:sz="4" w:space="4" w:color="auto"/>
        </w:pBdr>
        <w:spacing w:after="0" w:line="360" w:lineRule="auto"/>
        <w:ind w:left="357"/>
        <w:rPr>
          <w:rFonts w:ascii="Arial" w:eastAsia="Times New Roman" w:hAnsi="Arial" w:cs="Arial"/>
          <w:b/>
          <w:bCs/>
          <w:sz w:val="20"/>
          <w:szCs w:val="20"/>
          <w:lang w:eastAsia="it-IT"/>
        </w:rPr>
      </w:pPr>
    </w:p>
    <w:p w14:paraId="0E52CCE7" w14:textId="77777777" w:rsidR="00463F3C" w:rsidRPr="00463F3C" w:rsidRDefault="00463F3C" w:rsidP="00172300">
      <w:pPr>
        <w:pBdr>
          <w:top w:val="single" w:sz="4" w:space="1" w:color="auto"/>
          <w:left w:val="single" w:sz="4" w:space="15" w:color="auto"/>
          <w:bottom w:val="single" w:sz="4" w:space="1" w:color="auto"/>
          <w:right w:val="single" w:sz="4" w:space="4" w:color="auto"/>
        </w:pBdr>
        <w:spacing w:after="0" w:line="360" w:lineRule="auto"/>
        <w:ind w:left="357"/>
        <w:rPr>
          <w:rFonts w:ascii="Arial" w:eastAsia="Times New Roman" w:hAnsi="Arial" w:cs="Arial"/>
          <w:b/>
          <w:bCs/>
          <w:sz w:val="20"/>
          <w:szCs w:val="20"/>
          <w:lang w:eastAsia="it-IT"/>
        </w:rPr>
      </w:pPr>
      <w:r w:rsidRPr="00463F3C">
        <w:rPr>
          <w:rFonts w:ascii="Arial" w:eastAsia="Times New Roman" w:hAnsi="Arial" w:cs="Arial"/>
          <w:b/>
          <w:bCs/>
          <w:sz w:val="20"/>
          <w:szCs w:val="20"/>
          <w:lang w:eastAsia="it-IT"/>
        </w:rPr>
        <w:t>Data di approvazione della scheda in Senato Accademico:</w:t>
      </w:r>
      <w:r w:rsidR="00172300">
        <w:rPr>
          <w:rFonts w:ascii="Arial" w:eastAsia="Times New Roman" w:hAnsi="Arial" w:cs="Arial"/>
          <w:b/>
          <w:bCs/>
          <w:sz w:val="20"/>
          <w:szCs w:val="20"/>
          <w:lang w:eastAsia="it-IT"/>
        </w:rPr>
        <w:t xml:space="preserve"> ………………………</w:t>
      </w:r>
      <w:r w:rsidR="00387B60">
        <w:rPr>
          <w:rFonts w:ascii="Arial" w:eastAsia="Times New Roman" w:hAnsi="Arial" w:cs="Arial"/>
          <w:b/>
          <w:bCs/>
          <w:sz w:val="20"/>
          <w:szCs w:val="20"/>
          <w:lang w:eastAsia="it-IT"/>
        </w:rPr>
        <w:t>…..</w:t>
      </w:r>
    </w:p>
    <w:p w14:paraId="198B7C15" w14:textId="77777777" w:rsidR="00143949" w:rsidRDefault="00143949">
      <w:pPr>
        <w:rPr>
          <w:rFonts w:asciiTheme="majorHAnsi" w:eastAsiaTheme="majorEastAsia" w:hAnsiTheme="majorHAnsi" w:cstheme="majorHAnsi"/>
          <w:b/>
          <w:bCs/>
          <w:sz w:val="24"/>
          <w:szCs w:val="24"/>
          <w:lang w:eastAsia="it-IT"/>
        </w:rPr>
      </w:pPr>
      <w:bookmarkStart w:id="3" w:name="_Toc169771345"/>
      <w:bookmarkEnd w:id="0"/>
      <w:r>
        <w:rPr>
          <w:rFonts w:asciiTheme="majorHAnsi" w:eastAsiaTheme="majorEastAsia" w:hAnsiTheme="majorHAnsi" w:cstheme="majorHAnsi"/>
          <w:b/>
          <w:bCs/>
          <w:sz w:val="24"/>
          <w:szCs w:val="24"/>
          <w:lang w:eastAsia="it-IT"/>
        </w:rPr>
        <w:br w:type="page"/>
      </w:r>
    </w:p>
    <w:bookmarkEnd w:id="3"/>
    <w:p w14:paraId="1723F405" w14:textId="77777777" w:rsidR="00387B60" w:rsidRPr="00387B60" w:rsidRDefault="00387B60" w:rsidP="00387B60">
      <w:pPr>
        <w:keepNext/>
        <w:keepLines/>
        <w:spacing w:before="360" w:after="0"/>
        <w:outlineLvl w:val="0"/>
        <w:rPr>
          <w:rFonts w:asciiTheme="majorHAnsi" w:eastAsiaTheme="majorEastAsia" w:hAnsiTheme="majorHAnsi" w:cstheme="majorHAnsi"/>
          <w:b/>
          <w:bCs/>
          <w:sz w:val="24"/>
          <w:szCs w:val="24"/>
          <w:lang w:eastAsia="it-IT"/>
        </w:rPr>
      </w:pPr>
      <w:r w:rsidRPr="00387B60">
        <w:rPr>
          <w:rFonts w:asciiTheme="majorHAnsi" w:eastAsiaTheme="majorEastAsia" w:hAnsiTheme="majorHAnsi" w:cstheme="majorHAnsi"/>
          <w:b/>
          <w:bCs/>
          <w:sz w:val="24"/>
          <w:szCs w:val="24"/>
          <w:lang w:eastAsia="it-IT"/>
        </w:rPr>
        <w:lastRenderedPageBreak/>
        <w:t>Ambito A – Strategia, Pianificazione e Organizzazione</w:t>
      </w:r>
    </w:p>
    <w:p w14:paraId="595514BE" w14:textId="77777777" w:rsidR="00387B60" w:rsidRPr="00387B60" w:rsidRDefault="00387B60" w:rsidP="00387B60">
      <w:pPr>
        <w:tabs>
          <w:tab w:val="left" w:pos="567"/>
          <w:tab w:val="left" w:pos="10244"/>
          <w:tab w:val="left" w:pos="12243"/>
        </w:tabs>
        <w:jc w:val="both"/>
        <w:rPr>
          <w:rFonts w:ascii="Calibri" w:eastAsia="Times New Roman" w:hAnsi="Calibri" w:cstheme="majorHAnsi"/>
          <w:sz w:val="20"/>
          <w:szCs w:val="20"/>
          <w:lang w:eastAsia="it-IT"/>
        </w:rPr>
      </w:pPr>
      <w:r w:rsidRPr="00387B60">
        <w:rPr>
          <w:rFonts w:asciiTheme="majorHAnsi" w:eastAsia="Times New Roman" w:hAnsiTheme="majorHAnsi" w:cstheme="majorHAnsi"/>
          <w:sz w:val="20"/>
          <w:szCs w:val="20"/>
          <w:lang w:eastAsia="it-IT"/>
        </w:rPr>
        <w:t>In questo ambito si valuta la capacità degli Atenei di definire, formalizzare e realizzare, attraverso politiche, strategie, obiettivi strategici e operativi, una propria visione, chiara, coerente, articolata e pubblica, della qualità della didattica, della ricerca, della terza missione e delle attività istituzionali e gestionali. L’attuazione delle politiche, delle strategie e degli obiettivi strategici e operativi deve essere assicurata attraverso l’implementazione di un Sistema di Governo e di Assicurazione della Qualità (AQ), dotato di un efficace sistema di pianificazione e monitoraggio dei piani e dei risultati conseguiti, nonché di modalità chiare e trasparenti per la revisione critica del suo funzionamento, attraverso il coinvolgimento delle diverse componenti dell’Ateneo, tenendo anche conto dei processi di autovalutazione e delle valutazioni esterne ricevute. Un aspetto importante riguarda il coinvolgimento attivo di tutti i portatori di interesse, interni ed esterni, in particolare modo degli studenti ai quali è necessario attribuire un ruolo attivo e partecipativo, a tutti i livelli, nei processi decisionali degli organi di governo.</w:t>
      </w:r>
    </w:p>
    <w:p w14:paraId="3009AE51" w14:textId="77777777" w:rsidR="00387B60" w:rsidRPr="00387B60" w:rsidRDefault="00387B60" w:rsidP="00387B60">
      <w:pPr>
        <w:keepNext/>
        <w:keepLines/>
        <w:spacing w:before="40" w:after="120"/>
        <w:ind w:firstLine="284"/>
        <w:jc w:val="both"/>
        <w:outlineLvl w:val="2"/>
        <w:rPr>
          <w:rFonts w:asciiTheme="majorHAnsi" w:eastAsiaTheme="majorEastAsia" w:hAnsiTheme="majorHAnsi" w:cstheme="majorHAnsi"/>
          <w:b/>
          <w:bCs/>
          <w:szCs w:val="24"/>
          <w:lang w:eastAsia="it-IT"/>
        </w:rPr>
      </w:pPr>
      <w:bookmarkStart w:id="4" w:name="_Toc169793572"/>
      <w:r w:rsidRPr="00387B60">
        <w:rPr>
          <w:rFonts w:asciiTheme="majorHAnsi" w:eastAsiaTheme="majorEastAsia" w:hAnsiTheme="majorHAnsi" w:cstheme="majorHAnsi"/>
          <w:b/>
          <w:bCs/>
          <w:i/>
          <w:szCs w:val="24"/>
          <w:lang w:eastAsia="it-IT"/>
        </w:rPr>
        <w:t>PdA</w:t>
      </w:r>
      <w:r w:rsidRPr="00387B60">
        <w:rPr>
          <w:rFonts w:asciiTheme="majorHAnsi" w:eastAsiaTheme="majorEastAsia" w:hAnsiTheme="majorHAnsi" w:cstheme="majorHAnsi"/>
          <w:b/>
          <w:bCs/>
          <w:szCs w:val="24"/>
          <w:lang w:eastAsia="it-IT"/>
        </w:rPr>
        <w:t xml:space="preserve"> A.1- Qualità della didattica, della ricerca, della terza missione/impatto sociale e delle attività istituzionali e gestionali nelle politiche e nelle strategie dell'Ateneo</w:t>
      </w:r>
      <w:bookmarkEnd w:id="4"/>
    </w:p>
    <w:p w14:paraId="7E712579" w14:textId="77777777" w:rsidR="00387B60" w:rsidRPr="00387B60" w:rsidRDefault="00387B60" w:rsidP="00387B60">
      <w:pPr>
        <w:ind w:firstLine="426"/>
        <w:rPr>
          <w:rFonts w:asciiTheme="majorHAnsi" w:eastAsia="Times New Roman" w:hAnsiTheme="majorHAnsi" w:cstheme="majorHAnsi"/>
          <w:b/>
          <w:lang w:eastAsia="it-IT"/>
        </w:rPr>
      </w:pPr>
      <w:r w:rsidRPr="00387B60">
        <w:rPr>
          <w:rFonts w:asciiTheme="majorHAnsi" w:eastAsia="Times New Roman" w:hAnsiTheme="majorHAnsi" w:cstheme="majorHAnsi"/>
          <w:b/>
          <w:i/>
          <w:sz w:val="20"/>
          <w:szCs w:val="20"/>
          <w:lang w:eastAsia="it-IT"/>
        </w:rPr>
        <w:t>AdC</w:t>
      </w:r>
      <w:r w:rsidRPr="00387B60">
        <w:rPr>
          <w:rFonts w:asciiTheme="majorHAnsi" w:eastAsia="Times New Roman" w:hAnsiTheme="majorHAnsi" w:cstheme="majorHAnsi"/>
          <w:b/>
          <w:sz w:val="20"/>
          <w:szCs w:val="20"/>
          <w:lang w:eastAsia="it-IT"/>
        </w:rPr>
        <w:t xml:space="preserve"> relativi a questo PdA che vanno affrontati nell’Autovalutazione</w:t>
      </w:r>
      <w:r w:rsidRPr="00387B60">
        <w:rPr>
          <w:rFonts w:asciiTheme="majorHAnsi" w:eastAsia="Times New Roman" w:hAnsiTheme="majorHAnsi" w:cstheme="majorHAnsi"/>
          <w:b/>
          <w:lang w:eastAsia="it-IT"/>
        </w:rPr>
        <w:t>:</w:t>
      </w:r>
    </w:p>
    <w:p w14:paraId="55B7A12C" w14:textId="77777777" w:rsidR="00387B60" w:rsidRPr="00387B60" w:rsidRDefault="00387B60" w:rsidP="00387B60">
      <w:pPr>
        <w:numPr>
          <w:ilvl w:val="0"/>
          <w:numId w:val="18"/>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 xml:space="preserve">A.1.1 </w:t>
      </w:r>
      <w:r w:rsidRPr="00387B60">
        <w:rPr>
          <w:rFonts w:asciiTheme="majorHAnsi" w:eastAsia="Times New Roman" w:hAnsiTheme="majorHAnsi" w:cstheme="majorHAnsi"/>
          <w:i/>
          <w:iCs/>
          <w:sz w:val="20"/>
          <w:szCs w:val="20"/>
          <w:lang w:eastAsia="it-IT"/>
        </w:rPr>
        <w:t>L’Ateneo identifica il suo contesto di riferimento (locale, nazionale e internazionale) e i principali portatori di interesse (interni ed esterni).</w:t>
      </w:r>
    </w:p>
    <w:p w14:paraId="00AEE589" w14:textId="77777777" w:rsidR="00387B60" w:rsidRPr="00387B60" w:rsidRDefault="00387B60" w:rsidP="00387B60">
      <w:pPr>
        <w:numPr>
          <w:ilvl w:val="0"/>
          <w:numId w:val="18"/>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A.1.2</w:t>
      </w:r>
      <w:r w:rsidRPr="00387B60">
        <w:rPr>
          <w:rFonts w:asciiTheme="majorHAnsi" w:eastAsia="Times New Roman" w:hAnsiTheme="majorHAnsi" w:cstheme="majorHAnsi"/>
          <w:sz w:val="20"/>
          <w:szCs w:val="20"/>
          <w:lang w:eastAsia="it-IT"/>
        </w:rPr>
        <w:t xml:space="preserve"> </w:t>
      </w:r>
      <w:r w:rsidRPr="00387B60">
        <w:rPr>
          <w:rFonts w:asciiTheme="majorHAnsi" w:eastAsia="Times New Roman" w:hAnsiTheme="majorHAnsi" w:cstheme="majorHAnsi"/>
          <w:i/>
          <w:sz w:val="20"/>
          <w:szCs w:val="20"/>
          <w:lang w:eastAsia="it-IT"/>
        </w:rPr>
        <w:t>L'Ateneo definisce formalmente una propria visione chiara, articolata e pubblica, della qualità della didattica (coerente con gli standard e linee guida europei - ESG), della ricerca, della terza missione/impatto sociale e delle altre attività istituzionali e gestionali, con riferimento al complesso delle relazioni fra queste e tenendo conto del contesto di riferimento, dei portatori di interesse, delle competenze e risorse disponibili, delle proprie potenzialità di sviluppo e delle ricadute nel contesto sociale, culturale ed economico.</w:t>
      </w:r>
    </w:p>
    <w:p w14:paraId="50A8765C" w14:textId="77777777" w:rsidR="00387B60" w:rsidRPr="00387B60" w:rsidRDefault="00387B60" w:rsidP="00387B60">
      <w:pPr>
        <w:numPr>
          <w:ilvl w:val="0"/>
          <w:numId w:val="18"/>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A.1.3 L’Ateneo declina la visione in politiche, strategie, obiettivi (strategici e operativi di livello locale, nazionale e internazionale, a breve, medio e lungo termine), riportati nei documenti di pianificazione strategica e operativa e di bilancio, accessibili ai portatori di interesse (interni ed esterni).</w:t>
      </w:r>
    </w:p>
    <w:p w14:paraId="69D18D19" w14:textId="77777777" w:rsidR="00387B60" w:rsidRPr="00387B60" w:rsidRDefault="00387B60" w:rsidP="00387B60">
      <w:pPr>
        <w:numPr>
          <w:ilvl w:val="0"/>
          <w:numId w:val="18"/>
        </w:numPr>
        <w:spacing w:after="120" w:line="240" w:lineRule="auto"/>
        <w:ind w:left="714" w:hanging="357"/>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A.1.4 Gli obiettivi strategici e operativi sono chiaramente definiti, quantificati tramite opportuni indicatori e target, realizzabili e verificabili, tengono conto del contesto di riferimento, delle competenze e risorse disponibili, delle potenzialità di sviluppo globale dell’Ateneo, delle indicazioni ministeriali e anche dei risultati conseguiti nei cicli di pianificazione precedenti e dei processi di monitoraggio e valutazione interna ed esterna. Gli obiettivi sono chiaramente comunicati al personale e alle strutture interessate.</w:t>
      </w:r>
    </w:p>
    <w:tbl>
      <w:tblPr>
        <w:tblStyle w:val="Grigliatabella"/>
        <w:tblW w:w="9639" w:type="dxa"/>
        <w:tblInd w:w="-5" w:type="dxa"/>
        <w:tblLook w:val="04A0" w:firstRow="1" w:lastRow="0" w:firstColumn="1" w:lastColumn="0" w:noHBand="0" w:noVBand="1"/>
      </w:tblPr>
      <w:tblGrid>
        <w:gridCol w:w="9639"/>
      </w:tblGrid>
      <w:tr w:rsidR="00387B60" w:rsidRPr="00387B60" w14:paraId="7121A6B8" w14:textId="77777777" w:rsidTr="0075363B">
        <w:tc>
          <w:tcPr>
            <w:tcW w:w="9639" w:type="dxa"/>
            <w:shd w:val="clear" w:color="auto" w:fill="auto"/>
          </w:tcPr>
          <w:p w14:paraId="271EF00B"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68EBA86A"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w:t>
            </w:r>
          </w:p>
          <w:p w14:paraId="33A8E338"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557FB812" w14:textId="77777777" w:rsidTr="0075363B">
        <w:tc>
          <w:tcPr>
            <w:tcW w:w="9639" w:type="dxa"/>
            <w:shd w:val="clear" w:color="auto" w:fill="auto"/>
          </w:tcPr>
          <w:p w14:paraId="3305D6B5"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020AACF5"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6E99E641"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21232EBF"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5DC52BC7"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702D5BB0"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17236C72"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45040E7B"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47AC5FF2"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3AE9A9E5"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31278E02"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1FC5601C" w14:textId="77777777" w:rsidR="00387B60" w:rsidRPr="00387B60" w:rsidRDefault="00387B60" w:rsidP="00387B60">
      <w:pPr>
        <w:spacing w:after="144"/>
        <w:rPr>
          <w:rFonts w:asciiTheme="majorHAnsi" w:eastAsia="Times New Roman" w:hAnsiTheme="majorHAnsi" w:cstheme="majorHAnsi"/>
          <w:b/>
          <w:sz w:val="20"/>
          <w:szCs w:val="20"/>
          <w:lang w:eastAsia="it-IT"/>
        </w:rPr>
      </w:pPr>
    </w:p>
    <w:p w14:paraId="7204D647" w14:textId="77777777" w:rsidR="00387B60" w:rsidRPr="00387B60" w:rsidRDefault="00387B60" w:rsidP="00387B60">
      <w:pPr>
        <w:keepNext/>
        <w:keepLines/>
        <w:spacing w:before="40" w:after="120"/>
        <w:ind w:firstLine="284"/>
        <w:outlineLvl w:val="2"/>
        <w:rPr>
          <w:rFonts w:asciiTheme="majorHAnsi" w:eastAsiaTheme="majorEastAsia" w:hAnsiTheme="majorHAnsi" w:cstheme="majorHAnsi"/>
          <w:b/>
          <w:bCs/>
          <w:szCs w:val="24"/>
          <w:lang w:eastAsia="it-IT"/>
        </w:rPr>
      </w:pPr>
      <w:bookmarkStart w:id="5" w:name="_Toc169793573"/>
      <w:bookmarkStart w:id="6" w:name="_Hlk169255955"/>
      <w:r w:rsidRPr="00387B60">
        <w:rPr>
          <w:rFonts w:asciiTheme="majorHAnsi" w:eastAsiaTheme="majorEastAsia" w:hAnsiTheme="majorHAnsi" w:cstheme="majorHAnsi"/>
          <w:b/>
          <w:bCs/>
          <w:i/>
          <w:szCs w:val="24"/>
          <w:lang w:eastAsia="it-IT"/>
        </w:rPr>
        <w:t>PdA</w:t>
      </w:r>
      <w:r w:rsidRPr="00387B60">
        <w:rPr>
          <w:rFonts w:asciiTheme="majorHAnsi" w:eastAsiaTheme="majorEastAsia" w:hAnsiTheme="majorHAnsi" w:cstheme="majorHAnsi"/>
          <w:b/>
          <w:bCs/>
          <w:szCs w:val="24"/>
          <w:lang w:eastAsia="it-IT"/>
        </w:rPr>
        <w:t xml:space="preserve"> A.2 – Architettura del Sistema di Governo e di Assicurazione della Qualità dell’Ateneo</w:t>
      </w:r>
      <w:bookmarkEnd w:id="5"/>
    </w:p>
    <w:p w14:paraId="3E9D6644" w14:textId="77777777" w:rsidR="00387B60" w:rsidRPr="00387B60" w:rsidRDefault="00387B60" w:rsidP="00387B60">
      <w:pPr>
        <w:ind w:firstLine="426"/>
        <w:rPr>
          <w:rFonts w:asciiTheme="majorHAnsi" w:eastAsia="Times New Roman" w:hAnsiTheme="majorHAnsi" w:cstheme="majorHAnsi"/>
          <w:sz w:val="20"/>
          <w:szCs w:val="20"/>
          <w:lang w:eastAsia="it-IT"/>
        </w:rPr>
      </w:pPr>
      <w:r w:rsidRPr="00387B60">
        <w:rPr>
          <w:rFonts w:asciiTheme="majorHAnsi" w:eastAsia="Times New Roman" w:hAnsiTheme="majorHAnsi" w:cstheme="majorHAnsi"/>
          <w:b/>
          <w:i/>
          <w:sz w:val="20"/>
          <w:szCs w:val="20"/>
          <w:lang w:eastAsia="it-IT"/>
        </w:rPr>
        <w:t>AdC</w:t>
      </w:r>
      <w:r w:rsidRPr="00387B60">
        <w:rPr>
          <w:rFonts w:asciiTheme="majorHAnsi" w:eastAsia="Times New Roman" w:hAnsiTheme="majorHAnsi" w:cstheme="majorHAnsi"/>
          <w:b/>
          <w:sz w:val="20"/>
          <w:szCs w:val="20"/>
          <w:lang w:eastAsia="it-IT"/>
        </w:rPr>
        <w:t xml:space="preserve"> relativi a questo </w:t>
      </w:r>
      <w:r w:rsidRPr="00387B60">
        <w:rPr>
          <w:rFonts w:asciiTheme="majorHAnsi" w:eastAsia="Times New Roman" w:hAnsiTheme="majorHAnsi" w:cstheme="majorHAnsi"/>
          <w:b/>
          <w:i/>
          <w:sz w:val="20"/>
          <w:szCs w:val="20"/>
          <w:lang w:eastAsia="it-IT"/>
        </w:rPr>
        <w:t>Punto di Attenzione</w:t>
      </w:r>
      <w:r w:rsidRPr="00387B60">
        <w:rPr>
          <w:rFonts w:asciiTheme="majorHAnsi" w:eastAsia="Times New Roman" w:hAnsiTheme="majorHAnsi" w:cstheme="majorHAnsi"/>
          <w:b/>
          <w:sz w:val="20"/>
          <w:szCs w:val="20"/>
          <w:lang w:eastAsia="it-IT"/>
        </w:rPr>
        <w:t xml:space="preserve"> che vanno affrontati nell’Autovalutazione:</w:t>
      </w:r>
    </w:p>
    <w:bookmarkEnd w:id="6"/>
    <w:p w14:paraId="37691DF0" w14:textId="77777777" w:rsidR="00387B60" w:rsidRPr="00387B60" w:rsidRDefault="00387B60" w:rsidP="00387B60">
      <w:pPr>
        <w:numPr>
          <w:ilvl w:val="0"/>
          <w:numId w:val="18"/>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A.2.1 L’Ateneo dispone di un Sistema di Governo e di gestione delle attività e delle relative prestazioni coerente con la propria visione, con le politiche e strategie e funzionale alla loro attuazione, con le competenze e risorse disponibili e con le proprie dimensioni e specificità.</w:t>
      </w:r>
    </w:p>
    <w:p w14:paraId="56AE54DB" w14:textId="77777777" w:rsidR="00387B60" w:rsidRPr="00387B60" w:rsidRDefault="00387B60" w:rsidP="00387B60">
      <w:pPr>
        <w:numPr>
          <w:ilvl w:val="0"/>
          <w:numId w:val="18"/>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A.2.2 L’Ateneo possiede un modello organizzativo adeguato alla realizzazione delle politiche e strategie e si avvale di un Sistema di Assicurazione della Qualità (AQ) e di processi per l’attuazione delle proprie missioni.</w:t>
      </w:r>
    </w:p>
    <w:p w14:paraId="78FA3923" w14:textId="77777777" w:rsidR="00387B60" w:rsidRPr="00387B60" w:rsidRDefault="00387B60" w:rsidP="00387B60">
      <w:pPr>
        <w:numPr>
          <w:ilvl w:val="0"/>
          <w:numId w:val="18"/>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L’Ateneo definisce e comunica in maniera chiara e trasparente ruoli, compiti, competenze, poteri decisionali e responsabilità delle proprie strutture organizzative.</w:t>
      </w:r>
    </w:p>
    <w:p w14:paraId="326EDCEA" w14:textId="77777777" w:rsidR="00387B60" w:rsidRPr="00387B60" w:rsidRDefault="00387B60" w:rsidP="00387B60">
      <w:pPr>
        <w:numPr>
          <w:ilvl w:val="0"/>
          <w:numId w:val="18"/>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A.2.3 L’Ateneo assegna ai docenti e al personale tecnico-amministrativo un ruolo attivo e partecipativo nelle decisioni degli Organi di Governo a livello centrale e periferico.</w:t>
      </w:r>
    </w:p>
    <w:p w14:paraId="621DD7BF" w14:textId="77777777" w:rsidR="00387B60" w:rsidRPr="00387B60" w:rsidRDefault="00387B60" w:rsidP="00387B60">
      <w:pPr>
        <w:numPr>
          <w:ilvl w:val="0"/>
          <w:numId w:val="18"/>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A.2.4 L’Ateneo cura il coordinamento e la comunicazione fra gli Organi di Governo e la struttura organizzativa (amministrazione centrale, Scuole/Facoltà, Dipartimenti e strutture assimilate, CdS, Dottorati di Ricerca, etc.).</w:t>
      </w:r>
    </w:p>
    <w:p w14:paraId="2DEA92F4" w14:textId="77777777" w:rsidR="00387B60" w:rsidRPr="00387B60" w:rsidRDefault="00387B60" w:rsidP="00387B60">
      <w:pPr>
        <w:numPr>
          <w:ilvl w:val="0"/>
          <w:numId w:val="18"/>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A.2.5 Le strutture responsabili dell’assicurazione e valutazione della qualità interagiscono efficacemente fra loro e con gli organi accademici preposti alla didattica, alla ricerca, alla terza missione/impatto sociale e alle altre attività istituzionali e gestionali.</w:t>
      </w:r>
    </w:p>
    <w:p w14:paraId="1B1468F1" w14:textId="77777777" w:rsidR="00387B60" w:rsidRPr="00387B60" w:rsidRDefault="00387B60" w:rsidP="00387B60">
      <w:pPr>
        <w:spacing w:after="0" w:line="240" w:lineRule="auto"/>
        <w:ind w:left="720"/>
        <w:contextualSpacing/>
        <w:jc w:val="both"/>
        <w:rPr>
          <w:rFonts w:asciiTheme="majorHAnsi" w:eastAsia="Times New Roman" w:hAnsiTheme="majorHAnsi" w:cstheme="majorHAnsi"/>
          <w:i/>
          <w:sz w:val="20"/>
          <w:szCs w:val="20"/>
          <w:lang w:eastAsia="it-IT"/>
        </w:rPr>
      </w:pPr>
    </w:p>
    <w:p w14:paraId="790AB845" w14:textId="77777777" w:rsidR="00387B60" w:rsidRPr="00387B60" w:rsidRDefault="00387B60" w:rsidP="00387B60">
      <w:pPr>
        <w:spacing w:after="0" w:line="240" w:lineRule="auto"/>
        <w:jc w:val="both"/>
        <w:rPr>
          <w:rFonts w:asciiTheme="majorHAnsi" w:eastAsia="Times New Roman" w:hAnsiTheme="majorHAnsi" w:cstheme="majorHAnsi"/>
          <w:i/>
          <w:iCs/>
          <w:sz w:val="20"/>
          <w:szCs w:val="20"/>
          <w:lang w:eastAsia="it-IT"/>
        </w:rPr>
      </w:pPr>
      <w:r w:rsidRPr="00387B60">
        <w:rPr>
          <w:rFonts w:asciiTheme="majorHAnsi" w:eastAsia="Times New Roman" w:hAnsiTheme="majorHAnsi" w:cstheme="majorHAnsi"/>
          <w:b/>
          <w:i/>
          <w:sz w:val="20"/>
          <w:szCs w:val="20"/>
          <w:lang w:eastAsia="it-IT"/>
        </w:rPr>
        <w:t>Nota dell’Ateneo</w:t>
      </w:r>
      <w:r w:rsidRPr="00387B60">
        <w:rPr>
          <w:rFonts w:asciiTheme="majorHAnsi" w:eastAsia="Times New Roman" w:hAnsiTheme="majorHAnsi" w:cstheme="majorHAnsi"/>
          <w:i/>
          <w:sz w:val="20"/>
          <w:szCs w:val="20"/>
          <w:lang w:eastAsia="it-IT"/>
        </w:rPr>
        <w:t>:</w:t>
      </w:r>
      <w:r w:rsidRPr="00387B60">
        <w:rPr>
          <w:rFonts w:asciiTheme="majorHAnsi" w:eastAsia="Times New Roman" w:hAnsiTheme="majorHAnsi" w:cstheme="majorHAnsi"/>
          <w:sz w:val="20"/>
          <w:szCs w:val="20"/>
          <w:lang w:eastAsia="it-IT"/>
        </w:rPr>
        <w:t xml:space="preserve"> </w:t>
      </w:r>
      <w:r w:rsidRPr="00387B60">
        <w:rPr>
          <w:rFonts w:asciiTheme="majorHAnsi" w:eastAsia="Times New Roman" w:hAnsiTheme="majorHAnsi" w:cstheme="majorHAnsi"/>
          <w:i/>
          <w:sz w:val="20"/>
          <w:szCs w:val="20"/>
          <w:lang w:eastAsia="it-IT"/>
        </w:rPr>
        <w:t>Per quanto riguarda questo Punto di Attenzione,</w:t>
      </w:r>
      <w:r w:rsidRPr="00387B60">
        <w:rPr>
          <w:rFonts w:asciiTheme="majorHAnsi" w:eastAsia="Times New Roman" w:hAnsiTheme="majorHAnsi" w:cstheme="majorHAnsi"/>
          <w:i/>
          <w:iCs/>
          <w:sz w:val="20"/>
          <w:szCs w:val="20"/>
          <w:lang w:eastAsia="it-IT"/>
        </w:rPr>
        <w:t xml:space="preserve"> è opportuno focalizzare l’autovalutazione sui </w:t>
      </w:r>
      <w:r w:rsidRPr="00387B60">
        <w:rPr>
          <w:rFonts w:asciiTheme="majorHAnsi" w:eastAsia="Times New Roman" w:hAnsiTheme="majorHAnsi" w:cstheme="majorHAnsi"/>
          <w:b/>
          <w:i/>
          <w:iCs/>
          <w:sz w:val="20"/>
          <w:szCs w:val="20"/>
          <w:lang w:eastAsia="it-IT"/>
        </w:rPr>
        <w:t>processi</w:t>
      </w:r>
      <w:r w:rsidRPr="00387B60">
        <w:rPr>
          <w:rFonts w:asciiTheme="majorHAnsi" w:eastAsia="Times New Roman" w:hAnsiTheme="majorHAnsi" w:cstheme="majorHAnsi"/>
          <w:i/>
          <w:iCs/>
          <w:sz w:val="20"/>
          <w:szCs w:val="20"/>
          <w:lang w:eastAsia="it-IT"/>
        </w:rPr>
        <w:t xml:space="preserve"> (non sugli attori), gestiti sulla base del </w:t>
      </w:r>
      <w:r w:rsidRPr="00387B60">
        <w:rPr>
          <w:rFonts w:asciiTheme="majorHAnsi" w:eastAsia="Times New Roman" w:hAnsiTheme="majorHAnsi" w:cstheme="majorHAnsi"/>
          <w:b/>
          <w:i/>
          <w:iCs/>
          <w:sz w:val="20"/>
          <w:szCs w:val="20"/>
          <w:lang w:eastAsia="it-IT"/>
        </w:rPr>
        <w:t>ciclo PDCA</w:t>
      </w:r>
      <w:r w:rsidRPr="00387B60">
        <w:rPr>
          <w:rFonts w:asciiTheme="majorHAnsi" w:eastAsia="Times New Roman" w:hAnsiTheme="majorHAnsi" w:cstheme="majorHAnsi"/>
          <w:i/>
          <w:iCs/>
          <w:sz w:val="20"/>
          <w:szCs w:val="20"/>
          <w:lang w:eastAsia="it-IT"/>
        </w:rPr>
        <w:t>.</w:t>
      </w:r>
    </w:p>
    <w:p w14:paraId="2B4C1D4A" w14:textId="77777777" w:rsidR="00387B60" w:rsidRPr="00387B60" w:rsidRDefault="00387B60" w:rsidP="00387B60">
      <w:pPr>
        <w:spacing w:after="0" w:line="240" w:lineRule="auto"/>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 xml:space="preserve">Nella descrizione delle attività, </w:t>
      </w:r>
      <w:r w:rsidRPr="00387B60">
        <w:rPr>
          <w:rFonts w:asciiTheme="majorHAnsi" w:eastAsia="Times New Roman" w:hAnsiTheme="majorHAnsi" w:cstheme="majorHAnsi"/>
          <w:i/>
          <w:spacing w:val="-2"/>
          <w:sz w:val="20"/>
          <w:szCs w:val="20"/>
          <w:lang w:eastAsia="it-IT"/>
        </w:rPr>
        <w:t>focalizzare il contenuto sull’</w:t>
      </w:r>
      <w:r w:rsidRPr="00387B60">
        <w:rPr>
          <w:rFonts w:asciiTheme="majorHAnsi" w:eastAsia="Times New Roman" w:hAnsiTheme="majorHAnsi" w:cstheme="majorHAnsi"/>
          <w:b/>
          <w:i/>
          <w:spacing w:val="-2"/>
          <w:sz w:val="20"/>
          <w:szCs w:val="20"/>
          <w:lang w:eastAsia="it-IT"/>
        </w:rPr>
        <w:t>analisi delle</w:t>
      </w:r>
      <w:r w:rsidRPr="00387B60">
        <w:rPr>
          <w:rFonts w:asciiTheme="majorHAnsi" w:eastAsia="Times New Roman" w:hAnsiTheme="majorHAnsi" w:cstheme="majorHAnsi"/>
          <w:i/>
          <w:spacing w:val="-2"/>
          <w:sz w:val="20"/>
          <w:szCs w:val="20"/>
          <w:lang w:eastAsia="it-IT"/>
        </w:rPr>
        <w:t xml:space="preserve"> </w:t>
      </w:r>
      <w:r w:rsidRPr="00387B60">
        <w:rPr>
          <w:rFonts w:asciiTheme="majorHAnsi" w:eastAsia="Times New Roman" w:hAnsiTheme="majorHAnsi" w:cstheme="majorHAnsi"/>
          <w:b/>
          <w:i/>
          <w:spacing w:val="-2"/>
          <w:sz w:val="20"/>
          <w:szCs w:val="20"/>
          <w:lang w:eastAsia="it-IT"/>
        </w:rPr>
        <w:t>criticità</w:t>
      </w:r>
      <w:r w:rsidRPr="00387B60">
        <w:rPr>
          <w:rFonts w:asciiTheme="majorHAnsi" w:eastAsia="Times New Roman" w:hAnsiTheme="majorHAnsi" w:cstheme="majorHAnsi"/>
          <w:i/>
          <w:spacing w:val="-2"/>
          <w:sz w:val="20"/>
          <w:szCs w:val="20"/>
          <w:lang w:eastAsia="it-IT"/>
        </w:rPr>
        <w:t xml:space="preserve">, l’identificazione delle </w:t>
      </w:r>
      <w:r w:rsidRPr="00387B60">
        <w:rPr>
          <w:rFonts w:asciiTheme="majorHAnsi" w:eastAsia="Times New Roman" w:hAnsiTheme="majorHAnsi" w:cstheme="majorHAnsi"/>
          <w:b/>
          <w:i/>
          <w:spacing w:val="-2"/>
          <w:sz w:val="20"/>
          <w:szCs w:val="20"/>
          <w:lang w:eastAsia="it-IT"/>
        </w:rPr>
        <w:t>cause</w:t>
      </w:r>
      <w:r w:rsidRPr="00387B60">
        <w:rPr>
          <w:rFonts w:asciiTheme="majorHAnsi" w:eastAsia="Times New Roman" w:hAnsiTheme="majorHAnsi" w:cstheme="majorHAnsi"/>
          <w:i/>
          <w:spacing w:val="-2"/>
          <w:sz w:val="20"/>
          <w:szCs w:val="20"/>
          <w:lang w:eastAsia="it-IT"/>
        </w:rPr>
        <w:t xml:space="preserve">, la definizione delle </w:t>
      </w:r>
      <w:r w:rsidRPr="00387B60">
        <w:rPr>
          <w:rFonts w:asciiTheme="majorHAnsi" w:eastAsia="Times New Roman" w:hAnsiTheme="majorHAnsi" w:cstheme="majorHAnsi"/>
          <w:b/>
          <w:i/>
          <w:spacing w:val="-2"/>
          <w:sz w:val="20"/>
          <w:szCs w:val="20"/>
          <w:lang w:eastAsia="it-IT"/>
        </w:rPr>
        <w:t>azioni di miglioramento</w:t>
      </w:r>
      <w:r w:rsidRPr="00387B60">
        <w:rPr>
          <w:rFonts w:asciiTheme="majorHAnsi" w:eastAsia="Times New Roman" w:hAnsiTheme="majorHAnsi" w:cstheme="majorHAnsi"/>
          <w:i/>
          <w:sz w:val="20"/>
          <w:szCs w:val="20"/>
          <w:lang w:eastAsia="it-IT"/>
        </w:rPr>
        <w:t xml:space="preserve"> e la verifica della loro </w:t>
      </w:r>
      <w:r w:rsidRPr="00387B60">
        <w:rPr>
          <w:rFonts w:asciiTheme="majorHAnsi" w:eastAsia="Times New Roman" w:hAnsiTheme="majorHAnsi" w:cstheme="majorHAnsi"/>
          <w:b/>
          <w:i/>
          <w:sz w:val="20"/>
          <w:szCs w:val="20"/>
          <w:lang w:eastAsia="it-IT"/>
        </w:rPr>
        <w:t>efficacia</w:t>
      </w:r>
      <w:r w:rsidRPr="00387B60">
        <w:rPr>
          <w:rFonts w:asciiTheme="majorHAnsi" w:eastAsia="Times New Roman" w:hAnsiTheme="majorHAnsi" w:cstheme="majorHAnsi"/>
          <w:i/>
          <w:sz w:val="20"/>
          <w:szCs w:val="20"/>
          <w:lang w:eastAsia="it-IT"/>
        </w:rPr>
        <w:t>.</w:t>
      </w:r>
    </w:p>
    <w:p w14:paraId="220C5ADB" w14:textId="77777777" w:rsidR="00387B60" w:rsidRPr="00387B60" w:rsidRDefault="00387B60" w:rsidP="00387B60">
      <w:pPr>
        <w:spacing w:after="120" w:line="240" w:lineRule="auto"/>
        <w:jc w:val="both"/>
        <w:rPr>
          <w:rFonts w:asciiTheme="majorHAnsi" w:eastAsia="Times New Roman" w:hAnsiTheme="majorHAnsi" w:cstheme="majorHAnsi"/>
          <w:i/>
          <w:iCs/>
          <w:sz w:val="20"/>
          <w:szCs w:val="20"/>
          <w:lang w:eastAsia="it-IT"/>
        </w:rPr>
      </w:pPr>
      <w:r w:rsidRPr="00387B60">
        <w:rPr>
          <w:rFonts w:asciiTheme="majorHAnsi" w:eastAsia="Times New Roman" w:hAnsiTheme="majorHAnsi" w:cstheme="majorHAnsi"/>
          <w:i/>
          <w:sz w:val="20"/>
          <w:szCs w:val="20"/>
          <w:lang w:eastAsia="it-IT"/>
        </w:rPr>
        <w:t xml:space="preserve">Nella descrizione dei processi è importante fare riferimento alla </w:t>
      </w:r>
      <w:r w:rsidRPr="00387B60">
        <w:rPr>
          <w:rFonts w:asciiTheme="majorHAnsi" w:eastAsia="Times New Roman" w:hAnsiTheme="majorHAnsi" w:cstheme="majorHAnsi"/>
          <w:b/>
          <w:i/>
          <w:sz w:val="20"/>
          <w:szCs w:val="20"/>
          <w:lang w:eastAsia="it-IT"/>
        </w:rPr>
        <w:t>dimensione temporale</w:t>
      </w:r>
      <w:r w:rsidRPr="00387B60">
        <w:rPr>
          <w:rFonts w:asciiTheme="majorHAnsi" w:eastAsia="Times New Roman" w:hAnsiTheme="majorHAnsi" w:cstheme="majorHAnsi"/>
          <w:i/>
          <w:sz w:val="20"/>
          <w:szCs w:val="20"/>
          <w:lang w:eastAsia="it-IT"/>
        </w:rPr>
        <w:t>, anche fornendo evidenze dell’applicazione ripetuta del ciclo PDCA.</w:t>
      </w:r>
    </w:p>
    <w:tbl>
      <w:tblPr>
        <w:tblStyle w:val="Grigliatabella"/>
        <w:tblW w:w="9639" w:type="dxa"/>
        <w:tblInd w:w="-5" w:type="dxa"/>
        <w:tblLook w:val="04A0" w:firstRow="1" w:lastRow="0" w:firstColumn="1" w:lastColumn="0" w:noHBand="0" w:noVBand="1"/>
      </w:tblPr>
      <w:tblGrid>
        <w:gridCol w:w="9639"/>
      </w:tblGrid>
      <w:tr w:rsidR="00387B60" w:rsidRPr="00387B60" w14:paraId="324281B5" w14:textId="77777777" w:rsidTr="0075363B">
        <w:tc>
          <w:tcPr>
            <w:tcW w:w="9639" w:type="dxa"/>
            <w:shd w:val="clear" w:color="auto" w:fill="auto"/>
          </w:tcPr>
          <w:p w14:paraId="4F063529"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3C32492D"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w:t>
            </w:r>
          </w:p>
          <w:p w14:paraId="702E10AC"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57B32FE6" w14:textId="77777777" w:rsidTr="0075363B">
        <w:tc>
          <w:tcPr>
            <w:tcW w:w="9639" w:type="dxa"/>
            <w:shd w:val="clear" w:color="auto" w:fill="auto"/>
          </w:tcPr>
          <w:p w14:paraId="3C76D3E5"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35ABDB8C"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1D125E28"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64B2E544"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3E125F82"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61E6D717"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6FD67787"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11B45EA5"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4F9FA94C"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3B2E9BC8"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061B12F7"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36B853BF" w14:textId="64A82351" w:rsidR="00A9229F" w:rsidRDefault="00A9229F" w:rsidP="000E3F8E">
      <w:pPr>
        <w:keepNext/>
        <w:keepLines/>
        <w:spacing w:before="240" w:after="120"/>
        <w:outlineLvl w:val="2"/>
        <w:rPr>
          <w:rFonts w:asciiTheme="majorHAnsi" w:eastAsiaTheme="majorEastAsia" w:hAnsiTheme="majorHAnsi" w:cstheme="majorHAnsi"/>
          <w:b/>
          <w:bCs/>
          <w:i/>
          <w:szCs w:val="24"/>
          <w:lang w:eastAsia="it-IT"/>
        </w:rPr>
      </w:pPr>
      <w:bookmarkStart w:id="7" w:name="_Toc169793574"/>
    </w:p>
    <w:p w14:paraId="1E2070A2" w14:textId="77777777" w:rsidR="000E3F8E" w:rsidRDefault="000E3F8E" w:rsidP="000E3F8E">
      <w:pPr>
        <w:keepNext/>
        <w:keepLines/>
        <w:spacing w:before="240" w:after="120"/>
        <w:outlineLvl w:val="2"/>
        <w:rPr>
          <w:rFonts w:asciiTheme="majorHAnsi" w:eastAsiaTheme="majorEastAsia" w:hAnsiTheme="majorHAnsi" w:cstheme="majorHAnsi"/>
          <w:b/>
          <w:bCs/>
          <w:i/>
          <w:szCs w:val="24"/>
          <w:lang w:eastAsia="it-IT"/>
        </w:rPr>
      </w:pPr>
    </w:p>
    <w:p w14:paraId="58718ACC" w14:textId="712E73E1" w:rsidR="00387B60" w:rsidRPr="00387B60" w:rsidRDefault="00387B60" w:rsidP="000E3F8E">
      <w:pPr>
        <w:keepNext/>
        <w:keepLines/>
        <w:spacing w:before="240" w:after="120"/>
        <w:outlineLvl w:val="2"/>
        <w:rPr>
          <w:rFonts w:asciiTheme="majorHAnsi" w:eastAsiaTheme="majorEastAsia" w:hAnsiTheme="majorHAnsi" w:cstheme="majorHAnsi"/>
          <w:b/>
          <w:bCs/>
          <w:szCs w:val="24"/>
          <w:lang w:eastAsia="it-IT"/>
        </w:rPr>
      </w:pPr>
      <w:r w:rsidRPr="00387B60">
        <w:rPr>
          <w:rFonts w:asciiTheme="majorHAnsi" w:eastAsiaTheme="majorEastAsia" w:hAnsiTheme="majorHAnsi" w:cstheme="majorHAnsi"/>
          <w:b/>
          <w:bCs/>
          <w:i/>
          <w:szCs w:val="24"/>
          <w:lang w:eastAsia="it-IT"/>
        </w:rPr>
        <w:t>PdA</w:t>
      </w:r>
      <w:r w:rsidRPr="00387B60">
        <w:rPr>
          <w:rFonts w:asciiTheme="majorHAnsi" w:eastAsiaTheme="majorEastAsia" w:hAnsiTheme="majorHAnsi" w:cstheme="majorHAnsi"/>
          <w:b/>
          <w:bCs/>
          <w:szCs w:val="24"/>
          <w:lang w:eastAsia="it-IT"/>
        </w:rPr>
        <w:t xml:space="preserve"> A.3 - Sistema di monitoraggio delle politiche, delle strategie, dei processi e dei risultati</w:t>
      </w:r>
      <w:bookmarkEnd w:id="7"/>
    </w:p>
    <w:p w14:paraId="16E687BB" w14:textId="77777777" w:rsidR="00387B60" w:rsidRPr="00387B60" w:rsidRDefault="00387B60" w:rsidP="00387B60">
      <w:pPr>
        <w:ind w:firstLine="426"/>
        <w:rPr>
          <w:rFonts w:asciiTheme="majorHAnsi" w:eastAsia="Times New Roman" w:hAnsiTheme="majorHAnsi" w:cstheme="majorHAnsi"/>
          <w:sz w:val="20"/>
          <w:szCs w:val="20"/>
          <w:lang w:eastAsia="it-IT"/>
        </w:rPr>
      </w:pPr>
      <w:r w:rsidRPr="00387B60">
        <w:rPr>
          <w:rFonts w:asciiTheme="majorHAnsi" w:eastAsia="Times New Roman" w:hAnsiTheme="majorHAnsi" w:cstheme="majorHAnsi"/>
          <w:b/>
          <w:i/>
          <w:sz w:val="20"/>
          <w:szCs w:val="20"/>
          <w:lang w:eastAsia="it-IT"/>
        </w:rPr>
        <w:t>AdC</w:t>
      </w:r>
      <w:r w:rsidRPr="00387B60">
        <w:rPr>
          <w:rFonts w:asciiTheme="majorHAnsi" w:eastAsia="Times New Roman" w:hAnsiTheme="majorHAnsi" w:cstheme="majorHAnsi"/>
          <w:b/>
          <w:sz w:val="20"/>
          <w:szCs w:val="20"/>
          <w:lang w:eastAsia="it-IT"/>
        </w:rPr>
        <w:t xml:space="preserve"> relativi a questo </w:t>
      </w:r>
      <w:r w:rsidRPr="00387B60">
        <w:rPr>
          <w:rFonts w:asciiTheme="majorHAnsi" w:eastAsia="Times New Roman" w:hAnsiTheme="majorHAnsi" w:cstheme="majorHAnsi"/>
          <w:b/>
          <w:i/>
          <w:sz w:val="20"/>
          <w:szCs w:val="20"/>
          <w:lang w:eastAsia="it-IT"/>
        </w:rPr>
        <w:t>Punto di Attenzione</w:t>
      </w:r>
      <w:r w:rsidRPr="00387B60">
        <w:rPr>
          <w:rFonts w:asciiTheme="majorHAnsi" w:eastAsia="Times New Roman" w:hAnsiTheme="majorHAnsi" w:cstheme="majorHAnsi"/>
          <w:b/>
          <w:sz w:val="20"/>
          <w:szCs w:val="20"/>
          <w:lang w:eastAsia="it-IT"/>
        </w:rPr>
        <w:t xml:space="preserve"> che vanno affrontati nell’Autovalutazione</w:t>
      </w:r>
    </w:p>
    <w:p w14:paraId="24F1DFAF" w14:textId="77777777" w:rsidR="00387B60" w:rsidRPr="00387B60" w:rsidRDefault="00387B60" w:rsidP="00387B60">
      <w:pPr>
        <w:numPr>
          <w:ilvl w:val="0"/>
          <w:numId w:val="7"/>
        </w:numPr>
        <w:tabs>
          <w:tab w:val="left" w:pos="284"/>
        </w:tabs>
        <w:spacing w:after="0" w:line="240" w:lineRule="auto"/>
        <w:ind w:hanging="294"/>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A.3.1 L’Ateneo predispone e implementa un efficace sistema di monitoraggio delle politiche, delle strategie, dei processi e dei risultati conseguiti, utilizzando strumenti e indicatori che comprendono almeno quelli predisposti dal Ministero e dall’ANVUR.</w:t>
      </w:r>
    </w:p>
    <w:p w14:paraId="6E1F12BD" w14:textId="77777777" w:rsidR="00387B60" w:rsidRPr="00387B60" w:rsidRDefault="00387B60" w:rsidP="00387B60">
      <w:pPr>
        <w:numPr>
          <w:ilvl w:val="0"/>
          <w:numId w:val="7"/>
        </w:numPr>
        <w:spacing w:after="120" w:line="240" w:lineRule="auto"/>
        <w:ind w:hanging="294"/>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A.3.2 I risultati del monitoraggio vengono sistematicamente e approfonditamente analizzati a supporto del riesame e del miglioramento del Sistema di Governo e di Assicurazione della Qualità dell’Ateneo.</w:t>
      </w:r>
    </w:p>
    <w:tbl>
      <w:tblPr>
        <w:tblStyle w:val="Grigliatabella"/>
        <w:tblW w:w="9639" w:type="dxa"/>
        <w:tblInd w:w="-5" w:type="dxa"/>
        <w:tblLook w:val="04A0" w:firstRow="1" w:lastRow="0" w:firstColumn="1" w:lastColumn="0" w:noHBand="0" w:noVBand="1"/>
      </w:tblPr>
      <w:tblGrid>
        <w:gridCol w:w="9639"/>
      </w:tblGrid>
      <w:tr w:rsidR="00387B60" w:rsidRPr="00387B60" w14:paraId="2577720C" w14:textId="77777777" w:rsidTr="0075363B">
        <w:tc>
          <w:tcPr>
            <w:tcW w:w="9639" w:type="dxa"/>
            <w:shd w:val="clear" w:color="auto" w:fill="auto"/>
          </w:tcPr>
          <w:p w14:paraId="391ED884"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6F652388"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w:t>
            </w:r>
          </w:p>
          <w:p w14:paraId="1611019C"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3303E9CE" w14:textId="77777777" w:rsidTr="0075363B">
        <w:tc>
          <w:tcPr>
            <w:tcW w:w="9639" w:type="dxa"/>
            <w:shd w:val="clear" w:color="auto" w:fill="auto"/>
          </w:tcPr>
          <w:p w14:paraId="725F0EEC"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43CC6866"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13CDE3DA"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5CAAF105"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24ED29F4"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396F4703"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7D0421F7"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229805CE"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3D237A17"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150F9E6C"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133D5573"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382D5330" w14:textId="77777777" w:rsidR="00387B60" w:rsidRPr="00387B60" w:rsidRDefault="00387B60" w:rsidP="00387B60">
      <w:pPr>
        <w:keepNext/>
        <w:keepLines/>
        <w:spacing w:before="240" w:after="120"/>
        <w:ind w:firstLine="284"/>
        <w:outlineLvl w:val="2"/>
        <w:rPr>
          <w:rFonts w:asciiTheme="majorHAnsi" w:eastAsiaTheme="majorEastAsia" w:hAnsiTheme="majorHAnsi" w:cstheme="majorHAnsi"/>
          <w:b/>
          <w:szCs w:val="24"/>
          <w:lang w:eastAsia="it-IT"/>
        </w:rPr>
      </w:pPr>
      <w:bookmarkStart w:id="8" w:name="_Toc169793575"/>
      <w:r w:rsidRPr="00387B60">
        <w:rPr>
          <w:rFonts w:asciiTheme="majorHAnsi" w:eastAsiaTheme="majorEastAsia" w:hAnsiTheme="majorHAnsi" w:cstheme="majorHAnsi"/>
          <w:b/>
          <w:i/>
          <w:szCs w:val="24"/>
          <w:lang w:eastAsia="it-IT"/>
        </w:rPr>
        <w:t>PdA</w:t>
      </w:r>
      <w:r w:rsidRPr="00387B60">
        <w:rPr>
          <w:rFonts w:asciiTheme="majorHAnsi" w:eastAsiaTheme="majorEastAsia" w:hAnsiTheme="majorHAnsi" w:cstheme="majorHAnsi"/>
          <w:b/>
          <w:szCs w:val="24"/>
          <w:lang w:eastAsia="it-IT"/>
        </w:rPr>
        <w:t xml:space="preserve"> A.4 - Riesame del funzionamento del sistema di Governo e di Assicurazione della Qualità dell’Ateneo</w:t>
      </w:r>
      <w:bookmarkEnd w:id="8"/>
    </w:p>
    <w:p w14:paraId="3DDD19A0" w14:textId="77777777" w:rsidR="00387B60" w:rsidRPr="00387B60" w:rsidRDefault="00387B60" w:rsidP="00387B60">
      <w:pPr>
        <w:spacing w:after="144"/>
        <w:ind w:firstLine="360"/>
        <w:rPr>
          <w:rFonts w:ascii="Calibri" w:eastAsia="Times New Roman" w:hAnsi="Calibri" w:cstheme="majorHAnsi"/>
          <w:b/>
          <w:sz w:val="20"/>
          <w:szCs w:val="20"/>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p>
    <w:p w14:paraId="662CEA03"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A.4.1 Il funzionamento del Sistema di Governo è periodicamente aggiornato con modalità e tempistiche che favoriscono il miglioramento della sua efficacia a supporto della pianificazione strategica.</w:t>
      </w:r>
    </w:p>
    <w:p w14:paraId="641A5B97"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A.4.2</w:t>
      </w:r>
      <w:r w:rsidRPr="00387B60">
        <w:rPr>
          <w:rFonts w:asciiTheme="majorHAnsi" w:hAnsiTheme="majorHAnsi" w:cstheme="majorHAnsi"/>
          <w:sz w:val="20"/>
          <w:szCs w:val="20"/>
        </w:rPr>
        <w:t xml:space="preserve"> </w:t>
      </w:r>
      <w:r w:rsidRPr="00387B60">
        <w:rPr>
          <w:rFonts w:asciiTheme="majorHAnsi" w:eastAsia="Times New Roman" w:hAnsiTheme="majorHAnsi" w:cstheme="majorHAnsi"/>
          <w:i/>
          <w:sz w:val="20"/>
          <w:szCs w:val="20"/>
          <w:lang w:eastAsia="it-IT"/>
        </w:rPr>
        <w:t>Il funzionamento del Sistema di Assicurazione della Qualità è periodicamente sottoposto a riesame interno con modalità e tempistiche che favoriscono il miglioramento della sua efficacia a supporto della pianificazione strategica.</w:t>
      </w:r>
    </w:p>
    <w:p w14:paraId="62389C46"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A.4.3 Docenti, ricercatori, personale tecnico-amministrativo e studenti/dottorandi possono facilmente comunicare agli Organi di Governo e alle strutture responsabili dell’AQ le proprie osservazioni e proposte di miglioramento, anche attraverso le rilevazioni di cui ai punti B.1.1.6 e B.1.2.6.</w:t>
      </w:r>
    </w:p>
    <w:p w14:paraId="30D02344" w14:textId="77777777" w:rsidR="00A9229F" w:rsidRDefault="00387B60" w:rsidP="00A9229F">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A.4.4 Gli Organi di Governo, al fine di tenere sotto controllo l'effettiva realizzazione delle proprie politiche e strategie e di raggiungere gli obiettivi fissati, effettuano periodicamente il riesame del Sistema di Governo e di Assicurazione della Qualità, ne prendono in considerazione gli esiti e attuano le azioni di miglioramento necessarie.</w:t>
      </w:r>
      <w:r w:rsidR="00A9229F">
        <w:rPr>
          <w:rFonts w:asciiTheme="majorHAnsi" w:eastAsia="Times New Roman" w:hAnsiTheme="majorHAnsi" w:cstheme="majorHAnsi"/>
          <w:i/>
          <w:sz w:val="20"/>
          <w:szCs w:val="20"/>
          <w:lang w:eastAsia="it-IT"/>
        </w:rPr>
        <w:t xml:space="preserve"> </w:t>
      </w:r>
    </w:p>
    <w:p w14:paraId="3BE5A884" w14:textId="77777777" w:rsidR="00387B60" w:rsidRPr="00A9229F" w:rsidRDefault="00387B60" w:rsidP="00A9229F">
      <w:pPr>
        <w:spacing w:after="0" w:line="240" w:lineRule="auto"/>
        <w:ind w:left="720"/>
        <w:contextualSpacing/>
        <w:jc w:val="both"/>
        <w:rPr>
          <w:rFonts w:asciiTheme="majorHAnsi" w:eastAsia="Times New Roman" w:hAnsiTheme="majorHAnsi" w:cstheme="majorHAnsi"/>
          <w:i/>
          <w:sz w:val="20"/>
          <w:szCs w:val="20"/>
          <w:lang w:eastAsia="it-IT"/>
        </w:rPr>
      </w:pPr>
      <w:r w:rsidRPr="00A9229F">
        <w:rPr>
          <w:rFonts w:asciiTheme="majorHAnsi" w:eastAsia="Times New Roman" w:hAnsiTheme="majorHAnsi" w:cstheme="majorHAnsi"/>
          <w:i/>
          <w:sz w:val="20"/>
          <w:szCs w:val="20"/>
          <w:lang w:eastAsia="it-IT"/>
        </w:rPr>
        <w:t>Il Sistema di Governo assicura la diffusione dei risultati delle valutazioni e del riesame ai responsabili della gestione in qualità delle attività.</w:t>
      </w:r>
    </w:p>
    <w:tbl>
      <w:tblPr>
        <w:tblStyle w:val="Grigliatabella"/>
        <w:tblW w:w="9639" w:type="dxa"/>
        <w:tblInd w:w="-5" w:type="dxa"/>
        <w:tblLook w:val="04A0" w:firstRow="1" w:lastRow="0" w:firstColumn="1" w:lastColumn="0" w:noHBand="0" w:noVBand="1"/>
      </w:tblPr>
      <w:tblGrid>
        <w:gridCol w:w="9639"/>
      </w:tblGrid>
      <w:tr w:rsidR="00387B60" w:rsidRPr="00387B60" w14:paraId="50D020CE" w14:textId="77777777" w:rsidTr="0075363B">
        <w:tc>
          <w:tcPr>
            <w:tcW w:w="9639" w:type="dxa"/>
            <w:shd w:val="clear" w:color="auto" w:fill="auto"/>
          </w:tcPr>
          <w:p w14:paraId="747EAE5C"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lastRenderedPageBreak/>
              <w:t>Autovalutazione (non più di 2.000 parole)</w:t>
            </w:r>
          </w:p>
          <w:p w14:paraId="3AF3FA88"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w:t>
            </w:r>
          </w:p>
          <w:p w14:paraId="3CDEF7AB"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7E3E4200" w14:textId="77777777" w:rsidTr="0075363B">
        <w:tc>
          <w:tcPr>
            <w:tcW w:w="9639" w:type="dxa"/>
            <w:shd w:val="clear" w:color="auto" w:fill="auto"/>
          </w:tcPr>
          <w:p w14:paraId="5B8755D4"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71F47B6E"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4B302DDC"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125C375A"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76C436C8"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6076949C"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40300B8C"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0E37E2C3"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110311B5"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3DCB0F71"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321C2EDA"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3576EDEA" w14:textId="77777777" w:rsidR="00387B60" w:rsidRPr="00387B60" w:rsidRDefault="00387B60" w:rsidP="00387B60">
      <w:pPr>
        <w:keepNext/>
        <w:keepLines/>
        <w:spacing w:before="240" w:after="120"/>
        <w:ind w:firstLine="284"/>
        <w:outlineLvl w:val="2"/>
        <w:rPr>
          <w:rFonts w:asciiTheme="majorHAnsi" w:eastAsiaTheme="majorEastAsia" w:hAnsiTheme="majorHAnsi" w:cstheme="majorHAnsi"/>
          <w:b/>
          <w:szCs w:val="24"/>
          <w:lang w:eastAsia="it-IT"/>
        </w:rPr>
      </w:pPr>
      <w:bookmarkStart w:id="9" w:name="_Toc169793576"/>
      <w:r w:rsidRPr="00387B60">
        <w:rPr>
          <w:rFonts w:asciiTheme="majorHAnsi" w:eastAsiaTheme="majorEastAsia" w:hAnsiTheme="majorHAnsi" w:cstheme="majorHAnsi"/>
          <w:b/>
          <w:i/>
          <w:szCs w:val="24"/>
          <w:lang w:eastAsia="it-IT"/>
        </w:rPr>
        <w:t>PdA</w:t>
      </w:r>
      <w:r w:rsidRPr="00387B60">
        <w:rPr>
          <w:rFonts w:asciiTheme="majorHAnsi" w:eastAsiaTheme="majorEastAsia" w:hAnsiTheme="majorHAnsi" w:cstheme="majorHAnsi"/>
          <w:b/>
          <w:szCs w:val="24"/>
          <w:lang w:eastAsia="it-IT"/>
        </w:rPr>
        <w:t xml:space="preserve"> A.5 - Ruolo attribuito agli studenti</w:t>
      </w:r>
      <w:bookmarkEnd w:id="9"/>
    </w:p>
    <w:p w14:paraId="2E9203D9" w14:textId="77777777" w:rsidR="00387B60" w:rsidRPr="00387B60" w:rsidRDefault="00387B60" w:rsidP="00387B60">
      <w:pPr>
        <w:ind w:firstLine="426"/>
        <w:rPr>
          <w:rFonts w:ascii="Calibri" w:eastAsia="Times New Roman" w:hAnsi="Calibri" w:cs="Times New Roman"/>
          <w:sz w:val="20"/>
          <w:szCs w:val="20"/>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p>
    <w:p w14:paraId="32AA6D81" w14:textId="77777777" w:rsidR="00387B60" w:rsidRPr="00387B60" w:rsidRDefault="00387B60" w:rsidP="00387B60">
      <w:pPr>
        <w:numPr>
          <w:ilvl w:val="0"/>
          <w:numId w:val="7"/>
        </w:numPr>
        <w:spacing w:after="120" w:line="240" w:lineRule="auto"/>
        <w:ind w:left="714" w:hanging="357"/>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A.5.1 L’Ateneo assegna agli studenti un ruolo attivo e partecipativo nelle decisioni degli Organi di Governo a livello centrale e periferico. La loro partecipazione è sollecitata e praticata a tutti i livelli.</w:t>
      </w:r>
    </w:p>
    <w:tbl>
      <w:tblPr>
        <w:tblStyle w:val="Grigliatabella"/>
        <w:tblW w:w="9639" w:type="dxa"/>
        <w:tblInd w:w="-5" w:type="dxa"/>
        <w:tblLook w:val="04A0" w:firstRow="1" w:lastRow="0" w:firstColumn="1" w:lastColumn="0" w:noHBand="0" w:noVBand="1"/>
      </w:tblPr>
      <w:tblGrid>
        <w:gridCol w:w="9639"/>
      </w:tblGrid>
      <w:tr w:rsidR="00387B60" w:rsidRPr="00387B60" w14:paraId="6BDAE0E6" w14:textId="77777777" w:rsidTr="0075363B">
        <w:tc>
          <w:tcPr>
            <w:tcW w:w="9639" w:type="dxa"/>
            <w:shd w:val="clear" w:color="auto" w:fill="auto"/>
          </w:tcPr>
          <w:p w14:paraId="4F37C741"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29E3D6D7"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w:t>
            </w:r>
          </w:p>
          <w:p w14:paraId="24B5C1DC"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26180794" w14:textId="77777777" w:rsidTr="0075363B">
        <w:tc>
          <w:tcPr>
            <w:tcW w:w="9639" w:type="dxa"/>
            <w:shd w:val="clear" w:color="auto" w:fill="auto"/>
          </w:tcPr>
          <w:p w14:paraId="46F2B870"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689A7548" w14:textId="77777777" w:rsidR="00387B60" w:rsidRPr="00387B60" w:rsidRDefault="00387B60" w:rsidP="000E3F8E">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089227C5"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6A0C7785"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7B522A0A"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1A23C416"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69263C9B"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7AF0047C"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64E904C0"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5A6835C1"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6AE31E8D" w14:textId="77777777" w:rsidR="00387B60" w:rsidRPr="00387B60" w:rsidRDefault="00387B60" w:rsidP="000E3F8E">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02E77217" w14:textId="77777777" w:rsidR="00387B60" w:rsidRPr="00387B60" w:rsidRDefault="00387B60" w:rsidP="00387B60">
      <w:pPr>
        <w:rPr>
          <w:rFonts w:ascii="Calibri" w:eastAsia="Times New Roman" w:hAnsi="Calibri" w:cstheme="majorHAnsi"/>
          <w:b/>
          <w:bCs/>
          <w:sz w:val="24"/>
          <w:szCs w:val="24"/>
          <w:lang w:eastAsia="it-IT"/>
        </w:rPr>
      </w:pPr>
      <w:r w:rsidRPr="00387B60">
        <w:rPr>
          <w:rFonts w:ascii="Calibri" w:eastAsia="Times New Roman" w:hAnsi="Calibri" w:cstheme="majorHAnsi"/>
          <w:b/>
          <w:bCs/>
          <w:sz w:val="24"/>
          <w:szCs w:val="24"/>
          <w:lang w:eastAsia="it-IT"/>
        </w:rPr>
        <w:br w:type="page"/>
      </w:r>
    </w:p>
    <w:p w14:paraId="04108E1D" w14:textId="77777777" w:rsidR="00387B60" w:rsidRPr="00387B60" w:rsidRDefault="00387B60" w:rsidP="00387B60">
      <w:pPr>
        <w:spacing w:before="240"/>
        <w:jc w:val="both"/>
        <w:rPr>
          <w:rFonts w:asciiTheme="majorHAnsi" w:eastAsia="Times New Roman" w:hAnsiTheme="majorHAnsi" w:cstheme="majorHAnsi"/>
          <w:sz w:val="20"/>
          <w:szCs w:val="20"/>
          <w:lang w:eastAsia="it-IT"/>
        </w:rPr>
      </w:pPr>
      <w:r w:rsidRPr="00387B60">
        <w:rPr>
          <w:rFonts w:asciiTheme="majorHAnsi" w:eastAsia="Times New Roman" w:hAnsiTheme="majorHAnsi" w:cstheme="majorHAnsi"/>
          <w:b/>
          <w:bCs/>
          <w:sz w:val="24"/>
          <w:szCs w:val="24"/>
          <w:lang w:eastAsia="it-IT"/>
        </w:rPr>
        <w:lastRenderedPageBreak/>
        <w:t>Ambito B - Gestione delle risorse</w:t>
      </w:r>
    </w:p>
    <w:p w14:paraId="0A289308" w14:textId="77777777" w:rsidR="00387B60" w:rsidRPr="00387B60" w:rsidRDefault="00387B60" w:rsidP="00387B60">
      <w:pPr>
        <w:jc w:val="both"/>
        <w:rPr>
          <w:rFonts w:asciiTheme="majorHAnsi" w:eastAsia="Times New Roman" w:hAnsiTheme="majorHAnsi" w:cstheme="majorHAnsi"/>
          <w:sz w:val="20"/>
          <w:szCs w:val="20"/>
          <w:lang w:eastAsia="it-IT"/>
        </w:rPr>
      </w:pPr>
      <w:r w:rsidRPr="00387B60">
        <w:rPr>
          <w:rFonts w:asciiTheme="majorHAnsi" w:eastAsia="Times New Roman" w:hAnsiTheme="majorHAnsi" w:cstheme="majorHAnsi"/>
          <w:sz w:val="20"/>
          <w:szCs w:val="20"/>
          <w:lang w:eastAsia="it-IT"/>
        </w:rPr>
        <w:t>In questo ambito si valuta la capacità degli Atenei di gestire le risorse materiali e immateriali a supporto delle politiche, delle strategie e dei relativi piani di attuazione. Gli Atenei devono dotarsi di un adeguato sistema di programmazione, reclutamento, qualificazione e sviluppo delle risorse umane, sia in riferimento al personale docente che al personale tecnico-amministrativo. Gli Atenei devono dimostrare la piena sostenibilità economico finanziaria delle attività svolte ed essere in possesso di un sistema di programmazione e gestione delle risorse finanziarie in grado di mantenerla nel tempo. Gli Atenei devono altresì dimostrare di possedere un adeguato sistema per la programmazione e gestione delle strutture, delle attrezzature, delle tecnologie, dei dati, delle informazioni e delle conoscenze per le attività di didattica, di ricerca, di terza missione e per i servizi.</w:t>
      </w:r>
    </w:p>
    <w:p w14:paraId="519D4F9F" w14:textId="77777777" w:rsidR="00387B60" w:rsidRPr="00387B60" w:rsidRDefault="00387B60" w:rsidP="00387B60">
      <w:pPr>
        <w:keepNext/>
        <w:keepLines/>
        <w:spacing w:before="40" w:after="120"/>
        <w:outlineLvl w:val="1"/>
        <w:rPr>
          <w:rFonts w:asciiTheme="majorHAnsi" w:eastAsiaTheme="majorEastAsia" w:hAnsiTheme="majorHAnsi" w:cstheme="majorHAnsi"/>
          <w:b/>
          <w:sz w:val="24"/>
          <w:szCs w:val="24"/>
          <w:lang w:eastAsia="it-IT"/>
        </w:rPr>
      </w:pPr>
      <w:bookmarkStart w:id="10" w:name="_Toc169793577"/>
      <w:r w:rsidRPr="00387B60">
        <w:rPr>
          <w:rFonts w:asciiTheme="majorHAnsi" w:eastAsiaTheme="majorEastAsia" w:hAnsiTheme="majorHAnsi" w:cstheme="majorHAnsi"/>
          <w:b/>
          <w:sz w:val="24"/>
          <w:szCs w:val="24"/>
          <w:lang w:eastAsia="it-IT"/>
        </w:rPr>
        <w:t>Sotto Ambito B.1 Risorse Umane</w:t>
      </w:r>
      <w:bookmarkEnd w:id="10"/>
    </w:p>
    <w:p w14:paraId="1B045A6A" w14:textId="77777777" w:rsidR="00387B60" w:rsidRPr="00387B60" w:rsidRDefault="00387B60" w:rsidP="00387B60">
      <w:pPr>
        <w:keepNext/>
        <w:keepLines/>
        <w:spacing w:before="40" w:after="120"/>
        <w:ind w:firstLine="284"/>
        <w:outlineLvl w:val="2"/>
        <w:rPr>
          <w:rFonts w:asciiTheme="majorHAnsi" w:eastAsiaTheme="majorEastAsia" w:hAnsiTheme="majorHAnsi" w:cstheme="majorHAnsi"/>
          <w:b/>
          <w:lang w:eastAsia="it-IT"/>
        </w:rPr>
      </w:pPr>
      <w:bookmarkStart w:id="11" w:name="_Toc169793578"/>
      <w:r w:rsidRPr="00387B60">
        <w:rPr>
          <w:rFonts w:asciiTheme="majorHAnsi" w:eastAsiaTheme="majorEastAsia" w:hAnsiTheme="majorHAnsi" w:cstheme="majorHAnsi"/>
          <w:b/>
          <w:i/>
          <w:iCs/>
          <w:lang w:eastAsia="it-IT"/>
        </w:rPr>
        <w:t>PdA</w:t>
      </w:r>
      <w:r w:rsidRPr="00387B60">
        <w:rPr>
          <w:rFonts w:asciiTheme="majorHAnsi" w:eastAsiaTheme="majorEastAsia" w:hAnsiTheme="majorHAnsi" w:cstheme="majorHAnsi"/>
          <w:b/>
          <w:iCs/>
          <w:lang w:eastAsia="it-IT"/>
        </w:rPr>
        <w:t xml:space="preserve"> B.1.1 </w:t>
      </w:r>
      <w:r w:rsidRPr="00387B60">
        <w:rPr>
          <w:rFonts w:asciiTheme="majorHAnsi" w:eastAsiaTheme="majorEastAsia" w:hAnsiTheme="majorHAnsi" w:cstheme="majorHAnsi"/>
          <w:b/>
          <w:lang w:eastAsia="it-IT"/>
        </w:rPr>
        <w:t>Reclutamento, qualificazione e gestione del personale docente e di ricerca</w:t>
      </w:r>
      <w:bookmarkEnd w:id="11"/>
    </w:p>
    <w:p w14:paraId="110D4451" w14:textId="77777777" w:rsidR="00387B60" w:rsidRPr="00387B60" w:rsidRDefault="00387B60" w:rsidP="00387B60">
      <w:pPr>
        <w:ind w:firstLine="426"/>
        <w:rPr>
          <w:rFonts w:ascii="Calibri" w:eastAsia="Times New Roman" w:hAnsi="Calibri" w:cs="Times New Roman"/>
          <w:sz w:val="20"/>
          <w:szCs w:val="20"/>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p>
    <w:p w14:paraId="4502868E"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B.1.1.1 L’Ateneo definisce e attua, in coerenza con la propria pianificazione strategica, una strategia per la gestione del personale docente e di ricerca, analizzandone regolarmente i fabbisogni (sia in termini quantitativi, sia in termini di competenze) per lo sviluppo delle proprie missioni e attività istituzionali e gestionali, tenendo anche in considerazione le relative evoluzioni nel tempo.</w:t>
      </w:r>
    </w:p>
    <w:p w14:paraId="0CF0D918"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B.1.1.2 L’Ateneo si avvale di criteri trasparenti e coerenti con le proprie politiche e strategie per assegnare le risorse di personale docente e di ricerca ai Dipartimenti e definire i principi generali e le politiche per il reclutamento e la progressione delle carriere.</w:t>
      </w:r>
    </w:p>
    <w:p w14:paraId="0EC52997"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B.1.1.3 L’Ateneo persegue l’innalzamento dei livelli di qualificazione scientifica e didattica del proprio personale docente e di ricerca, anche attraverso il reclutamento di docenti e ricercatori di elevato profilo scientifico e didattico provenienti da altre sedi o Paesi e il ricorso a specifici programmi o strumenti nazionali o internazionali.</w:t>
      </w:r>
    </w:p>
    <w:p w14:paraId="3CD93E5A"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B.1.1.4 L’Ateneo favorisce, con proprie iniziative, la formazione, la crescita e l’aggiornamento scientifico, metodologico e delle competenze didattiche del personale docente e di ricerca e dei tutor a supporto della qualità e dell’innovazione, anche tecnologica, delle attività formative svolte in presenza e a distanza, nel rispetto delle diversità disciplinari e ne valuta l’efficacia.</w:t>
      </w:r>
    </w:p>
    <w:p w14:paraId="7539DAE2" w14:textId="77777777" w:rsidR="00387B60" w:rsidRPr="00387B60" w:rsidRDefault="00387B60" w:rsidP="009F056B">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dei Punti di Attenzione D.CDS.3.1 ed E.DIP.4 dei CdS e dei Dipartimenti oggetto di visita].</w:t>
      </w:r>
    </w:p>
    <w:p w14:paraId="478F0849"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B.1.1.5 L’Ateneo assegna premi e/o incentivi al personale docente e di ricerca sulla base di criteri che riconoscono il merito e il contributo al raggiungimento di risultati positivi per l’Ateneo.</w:t>
      </w:r>
    </w:p>
    <w:p w14:paraId="553DBFD8" w14:textId="77777777" w:rsidR="00387B60" w:rsidRPr="00387B60" w:rsidRDefault="00387B60" w:rsidP="009F056B">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del corrispondente Aspetto da Considerare del Punto di Attenzione E.DIP.3 dei Dipartimenti oggetto di visita].</w:t>
      </w:r>
    </w:p>
    <w:p w14:paraId="3CF5ADD1" w14:textId="77777777" w:rsidR="00387B60" w:rsidRPr="00387B60" w:rsidRDefault="00387B60" w:rsidP="00387B60">
      <w:pPr>
        <w:numPr>
          <w:ilvl w:val="0"/>
          <w:numId w:val="7"/>
        </w:numPr>
        <w:spacing w:after="120" w:line="264" w:lineRule="auto"/>
        <w:ind w:left="714" w:hanging="357"/>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B.1.1.6 L’Ateneo promuove e pratica regolarmente forme di ascolto del personale docente e di ricerca, ne diffonde i risultati e li utilizza per la revisione critica del Sistema di Governo e di Assicurazione della Qualità dell’Ateneo e per il miglioramento dei servizi al personale docente e di ricerca.</w:t>
      </w:r>
    </w:p>
    <w:tbl>
      <w:tblPr>
        <w:tblStyle w:val="Grigliatabella"/>
        <w:tblW w:w="9639" w:type="dxa"/>
        <w:tblInd w:w="-5" w:type="dxa"/>
        <w:tblLook w:val="04A0" w:firstRow="1" w:lastRow="0" w:firstColumn="1" w:lastColumn="0" w:noHBand="0" w:noVBand="1"/>
      </w:tblPr>
      <w:tblGrid>
        <w:gridCol w:w="9639"/>
      </w:tblGrid>
      <w:tr w:rsidR="00387B60" w:rsidRPr="00387B60" w14:paraId="1196456B" w14:textId="77777777" w:rsidTr="0075363B">
        <w:tc>
          <w:tcPr>
            <w:tcW w:w="9639" w:type="dxa"/>
            <w:shd w:val="clear" w:color="auto" w:fill="auto"/>
          </w:tcPr>
          <w:p w14:paraId="3819F76E" w14:textId="02E63C6D" w:rsidR="00387B60" w:rsidRDefault="00387B60" w:rsidP="008420A4">
            <w:pPr>
              <w:pStyle w:val="ANVURMGstileEelencopuntato"/>
              <w:numPr>
                <w:ilvl w:val="0"/>
                <w:numId w:val="0"/>
              </w:numPr>
              <w:ind w:left="720" w:hanging="360"/>
            </w:pPr>
            <w:r w:rsidRPr="00387B60">
              <w:t>Autovalutazione (non più di 2.000 parole)</w:t>
            </w:r>
          </w:p>
          <w:p w14:paraId="55A8D7D8" w14:textId="5D8DADEC" w:rsidR="008420A4" w:rsidRDefault="008420A4" w:rsidP="000E3F8E">
            <w:pPr>
              <w:pStyle w:val="ANVURMGstileEelencopuntato"/>
              <w:numPr>
                <w:ilvl w:val="0"/>
                <w:numId w:val="0"/>
              </w:numPr>
              <w:ind w:left="720"/>
            </w:pPr>
            <w:r>
              <w:t>--</w:t>
            </w:r>
            <w:r w:rsidR="000E3F8E">
              <w:t>-</w:t>
            </w:r>
          </w:p>
          <w:p w14:paraId="2475054C" w14:textId="3AF0BF66" w:rsidR="008420A4" w:rsidRDefault="008420A4" w:rsidP="000E3F8E">
            <w:pPr>
              <w:pStyle w:val="ANVURMGstileEelencopuntato"/>
              <w:numPr>
                <w:ilvl w:val="0"/>
                <w:numId w:val="0"/>
              </w:numPr>
              <w:ind w:left="720"/>
            </w:pPr>
            <w:r>
              <w:t>---</w:t>
            </w:r>
          </w:p>
          <w:p w14:paraId="2D8CE768" w14:textId="77777777" w:rsidR="00387B60" w:rsidRPr="00387B60" w:rsidRDefault="00387B60" w:rsidP="008420A4">
            <w:pPr>
              <w:pStyle w:val="ANVURMGstileEelencopuntato"/>
              <w:numPr>
                <w:ilvl w:val="0"/>
                <w:numId w:val="0"/>
              </w:numPr>
            </w:pPr>
          </w:p>
        </w:tc>
      </w:tr>
      <w:tr w:rsidR="00387B60" w:rsidRPr="002362E9" w14:paraId="0E9E0D8C" w14:textId="77777777" w:rsidTr="0075363B">
        <w:tc>
          <w:tcPr>
            <w:tcW w:w="9639" w:type="dxa"/>
            <w:shd w:val="clear" w:color="auto" w:fill="auto"/>
          </w:tcPr>
          <w:p w14:paraId="4CF1DC08" w14:textId="77777777" w:rsidR="00387B60" w:rsidRPr="00387B60" w:rsidRDefault="00387B60" w:rsidP="008420A4">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759307A7" w14:textId="77777777" w:rsidR="00387B60" w:rsidRPr="00387B60" w:rsidRDefault="00387B60" w:rsidP="008420A4">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24998F53" w14:textId="44567B10"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321C2E28" w14:textId="631CBFA3" w:rsidR="00387B60" w:rsidRDefault="00387B60" w:rsidP="008420A4">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r w:rsidR="00434028">
              <w:rPr>
                <w:rFonts w:asciiTheme="majorHAnsi" w:hAnsiTheme="majorHAnsi" w:cstheme="majorHAnsi"/>
                <w:bCs/>
              </w:rPr>
              <w:t xml:space="preserve">   </w:t>
            </w:r>
          </w:p>
          <w:p w14:paraId="7E23878C" w14:textId="77777777" w:rsidR="00387B60" w:rsidRPr="00387B60" w:rsidRDefault="00387B60" w:rsidP="008420A4">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344898E0" w14:textId="71504536" w:rsidR="008808E7" w:rsidRPr="008420A4" w:rsidRDefault="00387B60" w:rsidP="008420A4">
            <w:pPr>
              <w:spacing w:before="120" w:after="120"/>
              <w:ind w:left="720" w:right="141"/>
              <w:rPr>
                <w:rFonts w:asciiTheme="majorHAnsi" w:hAnsiTheme="majorHAnsi" w:cstheme="majorHAnsi"/>
                <w:bCs/>
              </w:rPr>
            </w:pPr>
            <w:r w:rsidRPr="00387B60">
              <w:rPr>
                <w:rFonts w:asciiTheme="majorHAnsi" w:hAnsiTheme="majorHAnsi" w:cstheme="majorHAnsi"/>
                <w:bCs/>
              </w:rPr>
              <w:lastRenderedPageBreak/>
              <w:t>Upload / Link del documento</w:t>
            </w:r>
            <w:r w:rsidR="008B3738" w:rsidRPr="001B51CB">
              <w:rPr>
                <w:rFonts w:asciiTheme="majorHAnsi" w:hAnsiTheme="majorHAnsi" w:cstheme="majorHAnsi"/>
                <w:bCs/>
              </w:rPr>
              <w:t xml:space="preserve"> </w:t>
            </w:r>
          </w:p>
          <w:p w14:paraId="601D9E91" w14:textId="6E002336" w:rsidR="00387B60" w:rsidRDefault="00387B60" w:rsidP="00387B60">
            <w:pPr>
              <w:ind w:right="141"/>
              <w:rPr>
                <w:rFonts w:asciiTheme="majorHAnsi" w:hAnsiTheme="majorHAnsi" w:cstheme="majorHAnsi"/>
                <w:b/>
              </w:rPr>
            </w:pPr>
            <w:r w:rsidRPr="00387B60">
              <w:rPr>
                <w:rFonts w:asciiTheme="majorHAnsi" w:hAnsiTheme="majorHAnsi" w:cstheme="majorHAnsi"/>
                <w:b/>
              </w:rPr>
              <w:t>Documenti a supporto:</w:t>
            </w:r>
          </w:p>
          <w:p w14:paraId="1653C708" w14:textId="77777777" w:rsidR="008420A4" w:rsidRPr="00387B60" w:rsidRDefault="008420A4" w:rsidP="00387B60">
            <w:pPr>
              <w:ind w:right="141"/>
              <w:rPr>
                <w:rFonts w:asciiTheme="majorHAnsi" w:hAnsiTheme="majorHAnsi" w:cstheme="majorHAnsi"/>
                <w:b/>
                <w:color w:val="222222"/>
                <w:sz w:val="19"/>
                <w:szCs w:val="19"/>
              </w:rPr>
            </w:pPr>
          </w:p>
          <w:p w14:paraId="6B591A2B" w14:textId="68E409A2" w:rsidR="00387B60" w:rsidRPr="00434028" w:rsidRDefault="00387B60" w:rsidP="00434028">
            <w:pPr>
              <w:pStyle w:val="Paragrafoelenco"/>
              <w:numPr>
                <w:ilvl w:val="0"/>
                <w:numId w:val="7"/>
              </w:numPr>
              <w:rPr>
                <w:rFonts w:asciiTheme="majorHAnsi" w:hAnsiTheme="majorHAnsi" w:cstheme="majorHAnsi"/>
                <w:bCs/>
              </w:rPr>
            </w:pPr>
            <w:r w:rsidRPr="00434028">
              <w:rPr>
                <w:rFonts w:asciiTheme="majorHAnsi" w:hAnsiTheme="majorHAnsi" w:cstheme="majorHAnsi"/>
                <w:bCs/>
              </w:rPr>
              <w:t>Titolo:</w:t>
            </w:r>
          </w:p>
          <w:p w14:paraId="544DE4F2" w14:textId="77777777" w:rsidR="00387B60" w:rsidRPr="00387B60" w:rsidRDefault="00387B60" w:rsidP="008420A4">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4B550589" w14:textId="77777777" w:rsidR="00387B60" w:rsidRPr="00387B60" w:rsidRDefault="00387B60" w:rsidP="008420A4">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271FFE89" w14:textId="28B56D98" w:rsidR="00387B60" w:rsidRDefault="00387B60" w:rsidP="008420A4">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r w:rsidR="00BD6028">
              <w:rPr>
                <w:rFonts w:asciiTheme="majorHAnsi" w:hAnsiTheme="majorHAnsi" w:cstheme="majorHAnsi"/>
                <w:bCs/>
              </w:rPr>
              <w:t xml:space="preserve"> </w:t>
            </w:r>
          </w:p>
          <w:p w14:paraId="17C228A5" w14:textId="7E5AA3EA" w:rsidR="002362E9" w:rsidRPr="002362E9" w:rsidRDefault="002362E9" w:rsidP="008420A4">
            <w:pPr>
              <w:pStyle w:val="Paragrafoelenco"/>
              <w:spacing w:before="120" w:after="120"/>
              <w:ind w:right="141"/>
              <w:rPr>
                <w:rFonts w:asciiTheme="majorHAnsi" w:hAnsiTheme="majorHAnsi" w:cstheme="majorHAnsi"/>
                <w:bCs/>
              </w:rPr>
            </w:pPr>
          </w:p>
        </w:tc>
      </w:tr>
    </w:tbl>
    <w:p w14:paraId="607A71E6" w14:textId="77777777" w:rsidR="00387B60" w:rsidRPr="00387B60" w:rsidRDefault="00387B60" w:rsidP="00387B60">
      <w:pPr>
        <w:keepNext/>
        <w:keepLines/>
        <w:spacing w:before="360" w:after="120"/>
        <w:ind w:firstLine="284"/>
        <w:outlineLvl w:val="2"/>
        <w:rPr>
          <w:rFonts w:asciiTheme="majorHAnsi" w:eastAsiaTheme="majorEastAsia" w:hAnsiTheme="majorHAnsi" w:cstheme="majorHAnsi"/>
          <w:b/>
          <w:szCs w:val="24"/>
          <w:lang w:eastAsia="it-IT"/>
        </w:rPr>
      </w:pPr>
      <w:bookmarkStart w:id="12" w:name="_Toc169793579"/>
      <w:r w:rsidRPr="00387B60">
        <w:rPr>
          <w:rFonts w:asciiTheme="majorHAnsi" w:eastAsiaTheme="majorEastAsia" w:hAnsiTheme="majorHAnsi" w:cstheme="majorHAnsi"/>
          <w:b/>
          <w:i/>
          <w:szCs w:val="24"/>
          <w:lang w:eastAsia="it-IT"/>
        </w:rPr>
        <w:lastRenderedPageBreak/>
        <w:t>PdA</w:t>
      </w:r>
      <w:r w:rsidRPr="00387B60">
        <w:rPr>
          <w:rFonts w:asciiTheme="majorHAnsi" w:eastAsiaTheme="majorEastAsia" w:hAnsiTheme="majorHAnsi" w:cstheme="majorHAnsi"/>
          <w:b/>
          <w:szCs w:val="24"/>
          <w:lang w:eastAsia="it-IT"/>
        </w:rPr>
        <w:t xml:space="preserve"> B.1.2 Reclutamento, qualificazione e gestione del personale tecnico-amministrativo</w:t>
      </w:r>
      <w:bookmarkEnd w:id="12"/>
    </w:p>
    <w:p w14:paraId="54706DAE" w14:textId="77777777" w:rsidR="00387B60" w:rsidRPr="00387B60" w:rsidRDefault="00387B60" w:rsidP="00387B60">
      <w:pPr>
        <w:ind w:firstLine="426"/>
        <w:rPr>
          <w:rFonts w:ascii="Calibri" w:eastAsia="Times New Roman" w:hAnsi="Calibri" w:cs="Times New Roman"/>
          <w:sz w:val="20"/>
          <w:szCs w:val="20"/>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p>
    <w:p w14:paraId="782C7FFA"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B.1.2.1 L’Ateneo definisce e attua, in coerenza con la propria pianificazione strategica, una strategia per la gestione del personale tecnico-amministrativo, analizzandone regolarmente i fabbisogni (sia in termini quantitativi, sia in termini di competenze) per lo sviluppo delle proprie missioni e attività istituzionali e gestionali e tenendo anche in considerazione le relative evoluzioni nel tempo.</w:t>
      </w:r>
    </w:p>
    <w:p w14:paraId="5E369CDE"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B.1.2.2 L’Ateneo si avvale di criteri trasparenti e coerenti con le proprie politiche e strategie per definire i principi generali e le politiche per il reclutamento, per la progressione delle carriere e per assegnare le risorse, tenendo conto delle disabilità, delle questioni di genere e della diversità.</w:t>
      </w:r>
    </w:p>
    <w:p w14:paraId="702CE502"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B.1.2.3 L’Ateneo promuove e sviluppa, sentito il personale, l’acquisizione di competenze e di esperienze, attraverso la formazione, la mobilità interna e lo svolgimento di periodi di lavoro presso altre istituzioni accademiche e di ricerca, anche internazionali, e ne valuta l’efficacia.</w:t>
      </w:r>
    </w:p>
    <w:p w14:paraId="055A814E" w14:textId="77777777" w:rsidR="00387B60" w:rsidRPr="00387B60" w:rsidRDefault="00387B60" w:rsidP="009F056B">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dei Punti di Attenzione D.CDS.3.2 ed E.DIP.4 dei CdS e dei Dipartimenti oggetto di visita].</w:t>
      </w:r>
    </w:p>
    <w:p w14:paraId="7C1F3F4F"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B.1.2.4 L’Ateneo attua una programmazione delle attività del personale tecnico-amministrativo, corredata da obiettivi di struttura organizzativa e individuali, in modo tale da garantire il perseguimento degli obiettivi strategici e operativi dell’Ateneo e dei Dipartimenti e da supportare le attività dei Corsi di Studio e dei Dottorati, assegnando premi e/o incentivi sulla base di criteri che riconoscono il merito e il contributo del personale al raggiungimento di risultati positivi per l’Ateneo.</w:t>
      </w:r>
    </w:p>
    <w:p w14:paraId="55CCBFD2" w14:textId="77777777" w:rsidR="00387B60" w:rsidRPr="00387B60" w:rsidRDefault="00387B60" w:rsidP="009F056B">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del Punto di Attenzione E.DIP.3 dei Dipartimenti oggetto di visita].</w:t>
      </w:r>
    </w:p>
    <w:p w14:paraId="2AE7BA86"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B.1.2.5 L’Ateneo promuove iniziative che contribuiscano a realizzare un ragionevole equilibrio tra la vita privata e la vita lavorativa del personale tecnico-amministrativo, con particolare riferimento a distribuzione dei carichi di lavoro, lavoro agile, telelavoro, etc.</w:t>
      </w:r>
    </w:p>
    <w:p w14:paraId="16EB7B5A" w14:textId="77777777" w:rsidR="00387B60" w:rsidRPr="00387B60" w:rsidRDefault="00387B60" w:rsidP="00387B60">
      <w:pPr>
        <w:numPr>
          <w:ilvl w:val="0"/>
          <w:numId w:val="7"/>
        </w:numPr>
        <w:spacing w:after="120" w:line="264" w:lineRule="auto"/>
        <w:ind w:left="714" w:hanging="357"/>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B.1.2.6 L’Ateneo promuove e attua regolarmente forme di ascolto del personale tecnico-amministrativo, ne diffonde i risultati e li utilizza per il riesame del Sistema di Governo e di Assicurazione della Qualità e per il miglioramento dei servizi al personale tecnico-amministrativo.</w:t>
      </w:r>
    </w:p>
    <w:tbl>
      <w:tblPr>
        <w:tblStyle w:val="Grigliatabella"/>
        <w:tblW w:w="9639" w:type="dxa"/>
        <w:tblInd w:w="-5" w:type="dxa"/>
        <w:tblLook w:val="04A0" w:firstRow="1" w:lastRow="0" w:firstColumn="1" w:lastColumn="0" w:noHBand="0" w:noVBand="1"/>
      </w:tblPr>
      <w:tblGrid>
        <w:gridCol w:w="9639"/>
      </w:tblGrid>
      <w:tr w:rsidR="00387B60" w:rsidRPr="00387B60" w14:paraId="47C2E2FA" w14:textId="77777777" w:rsidTr="0075363B">
        <w:tc>
          <w:tcPr>
            <w:tcW w:w="9639" w:type="dxa"/>
            <w:shd w:val="clear" w:color="auto" w:fill="auto"/>
          </w:tcPr>
          <w:p w14:paraId="62E7E8E9" w14:textId="2F7C10CE" w:rsidR="00387B60" w:rsidRDefault="00387B60" w:rsidP="00BF582A">
            <w:pPr>
              <w:spacing w:before="120" w:after="120"/>
              <w:ind w:right="141"/>
              <w:rPr>
                <w:rFonts w:asciiTheme="majorHAnsi" w:hAnsiTheme="majorHAnsi" w:cstheme="majorHAnsi"/>
                <w:b/>
                <w:bCs/>
              </w:rPr>
            </w:pPr>
            <w:bookmarkStart w:id="13" w:name="_Hlk171071936"/>
            <w:r w:rsidRPr="00387B60">
              <w:rPr>
                <w:rFonts w:asciiTheme="majorHAnsi" w:hAnsiTheme="majorHAnsi" w:cstheme="majorHAnsi"/>
                <w:b/>
                <w:bCs/>
              </w:rPr>
              <w:t>Autovalutazione (non più di 2.000 parole)</w:t>
            </w:r>
          </w:p>
          <w:p w14:paraId="459D8B86" w14:textId="77EE76F4" w:rsidR="008420A4" w:rsidRDefault="008420A4" w:rsidP="00BF582A">
            <w:pPr>
              <w:spacing w:before="120" w:after="120"/>
              <w:ind w:right="141"/>
              <w:rPr>
                <w:rFonts w:asciiTheme="majorHAnsi" w:hAnsiTheme="majorHAnsi" w:cstheme="majorHAnsi"/>
                <w:b/>
                <w:bCs/>
              </w:rPr>
            </w:pPr>
            <w:r>
              <w:rPr>
                <w:rFonts w:asciiTheme="majorHAnsi" w:hAnsiTheme="majorHAnsi" w:cstheme="majorHAnsi"/>
                <w:b/>
                <w:bCs/>
              </w:rPr>
              <w:t>---</w:t>
            </w:r>
          </w:p>
          <w:p w14:paraId="1256779D" w14:textId="365ECD8B" w:rsidR="008420A4" w:rsidRPr="00387B60" w:rsidRDefault="008420A4" w:rsidP="00BF582A">
            <w:pPr>
              <w:spacing w:before="120" w:after="120"/>
              <w:ind w:right="141"/>
              <w:rPr>
                <w:rFonts w:asciiTheme="majorHAnsi" w:hAnsiTheme="majorHAnsi" w:cstheme="majorHAnsi"/>
                <w:b/>
                <w:bCs/>
              </w:rPr>
            </w:pPr>
            <w:r>
              <w:rPr>
                <w:rFonts w:asciiTheme="majorHAnsi" w:hAnsiTheme="majorHAnsi" w:cstheme="majorHAnsi"/>
                <w:b/>
                <w:bCs/>
              </w:rPr>
              <w:t>---</w:t>
            </w:r>
          </w:p>
          <w:p w14:paraId="185D20E0" w14:textId="609D5814" w:rsidR="00CC4AE1" w:rsidRPr="008420A4" w:rsidRDefault="00CC4AE1" w:rsidP="008420A4">
            <w:pPr>
              <w:spacing w:line="259" w:lineRule="auto"/>
              <w:jc w:val="both"/>
              <w:rPr>
                <w:rFonts w:eastAsia="Calibri" w:cs="Calibri"/>
              </w:rPr>
            </w:pPr>
          </w:p>
        </w:tc>
      </w:tr>
      <w:bookmarkEnd w:id="13"/>
      <w:tr w:rsidR="00387B60" w:rsidRPr="00387B60" w14:paraId="24635EC8" w14:textId="77777777" w:rsidTr="0075363B">
        <w:tc>
          <w:tcPr>
            <w:tcW w:w="9639" w:type="dxa"/>
            <w:shd w:val="clear" w:color="auto" w:fill="auto"/>
          </w:tcPr>
          <w:p w14:paraId="1A8A741A" w14:textId="77777777" w:rsidR="00387B60" w:rsidRPr="00387B60" w:rsidRDefault="00387B60" w:rsidP="00BF582A">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4C94D6C5" w14:textId="77777777" w:rsidR="00387B60" w:rsidRPr="00387B60" w:rsidRDefault="00387B60" w:rsidP="00BF582A">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05002ECB"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730FD272" w14:textId="77777777" w:rsidR="00387B60" w:rsidRPr="00387B60" w:rsidRDefault="00387B60" w:rsidP="00BF582A">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4109622A" w14:textId="77777777" w:rsidR="00387B60" w:rsidRPr="00387B60" w:rsidRDefault="00387B60" w:rsidP="00BF582A">
            <w:pPr>
              <w:spacing w:before="120" w:after="120"/>
              <w:ind w:left="720" w:right="141"/>
              <w:rPr>
                <w:rFonts w:asciiTheme="majorHAnsi" w:hAnsiTheme="majorHAnsi" w:cstheme="majorHAnsi"/>
                <w:bCs/>
              </w:rPr>
            </w:pPr>
            <w:r w:rsidRPr="00387B60">
              <w:rPr>
                <w:rFonts w:asciiTheme="majorHAnsi" w:hAnsiTheme="majorHAnsi" w:cstheme="majorHAnsi"/>
                <w:bCs/>
              </w:rPr>
              <w:lastRenderedPageBreak/>
              <w:t>Riferimento (capitolo/paragrafo, etc.):</w:t>
            </w:r>
          </w:p>
          <w:p w14:paraId="6984F356" w14:textId="0F0661E5" w:rsidR="00E9714B" w:rsidRPr="008420A4" w:rsidRDefault="00387B60" w:rsidP="00BF582A">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64073614"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03B29A7A"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75DCDB70" w14:textId="77777777" w:rsidR="00387B60" w:rsidRPr="00387B60" w:rsidRDefault="00387B60" w:rsidP="00BF582A">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34DB3C78" w14:textId="77777777" w:rsidR="00387B60" w:rsidRPr="00387B60" w:rsidRDefault="00387B60" w:rsidP="00BF582A">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59AB86E8" w14:textId="77777777" w:rsidR="00387B60" w:rsidRPr="00387B60" w:rsidRDefault="00387B60" w:rsidP="00BF582A">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1337D2BC" w14:textId="77777777" w:rsidR="00387B60" w:rsidRPr="00387B60" w:rsidRDefault="00387B60" w:rsidP="00387B60">
      <w:pPr>
        <w:keepNext/>
        <w:keepLines/>
        <w:spacing w:before="360" w:after="120"/>
        <w:ind w:firstLine="284"/>
        <w:outlineLvl w:val="2"/>
        <w:rPr>
          <w:rFonts w:asciiTheme="majorHAnsi" w:eastAsiaTheme="majorEastAsia" w:hAnsiTheme="majorHAnsi" w:cstheme="majorHAnsi"/>
          <w:b/>
          <w:szCs w:val="24"/>
          <w:lang w:eastAsia="it-IT"/>
        </w:rPr>
      </w:pPr>
      <w:bookmarkStart w:id="14" w:name="_Toc169793580"/>
      <w:r w:rsidRPr="00387B60">
        <w:rPr>
          <w:rFonts w:asciiTheme="majorHAnsi" w:eastAsiaTheme="majorEastAsia" w:hAnsiTheme="majorHAnsi" w:cstheme="majorHAnsi"/>
          <w:b/>
          <w:i/>
          <w:szCs w:val="24"/>
          <w:lang w:eastAsia="it-IT"/>
        </w:rPr>
        <w:lastRenderedPageBreak/>
        <w:t>PdA</w:t>
      </w:r>
      <w:r w:rsidRPr="00387B60">
        <w:rPr>
          <w:rFonts w:asciiTheme="majorHAnsi" w:eastAsiaTheme="majorEastAsia" w:hAnsiTheme="majorHAnsi" w:cstheme="majorHAnsi"/>
          <w:b/>
          <w:szCs w:val="24"/>
          <w:lang w:eastAsia="it-IT"/>
        </w:rPr>
        <w:t xml:space="preserve"> B.1.3 Dotazione di personale e servizi per l’amministrazione e per il supporto alla didattica, alla ricerca e alla terza missione/impatto sociale</w:t>
      </w:r>
      <w:bookmarkEnd w:id="14"/>
    </w:p>
    <w:p w14:paraId="5F9C32FD" w14:textId="77777777" w:rsidR="00387B60" w:rsidRPr="00387B60" w:rsidRDefault="00387B60" w:rsidP="00387B60">
      <w:pPr>
        <w:ind w:firstLine="426"/>
        <w:rPr>
          <w:rFonts w:ascii="Calibri" w:eastAsia="Times New Roman" w:hAnsi="Calibri" w:cstheme="majorHAnsi"/>
          <w:b/>
          <w:iCs/>
          <w:sz w:val="20"/>
          <w:szCs w:val="20"/>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p>
    <w:p w14:paraId="065CF2B3"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B.1.3.1 L’Ateneo gestisce e monitora la dotazione e la qualificazione di personale tecnico-amministrativo e di servizi fra amministrazione centrale e strutture periferiche (Scuole/Facoltà, Dipartimenti o strutture assimilate, CdS, Dottorato, etc.), in una logica di sinergia e tenendo conto delle esigenze di supporto alle missioni e alle attività istituzionali e gestionali.</w:t>
      </w:r>
    </w:p>
    <w:p w14:paraId="36D767E3" w14:textId="77777777" w:rsidR="00387B60" w:rsidRPr="00387B60" w:rsidRDefault="00387B60" w:rsidP="009F056B">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dei Punti di Attenzione D.CDS.3.2 ed E.DIP.4 dei CdS e dei Dipartimenti oggetto di visita].</w:t>
      </w:r>
    </w:p>
    <w:p w14:paraId="00B94569"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B.1.3.2 Il personale tecnico-amministrativo e i servizi di supporto a didattica, ricerca e terza missione/impatto sociale assicurano alle attività delle Facoltà/Scuole, dei Dipartimenti, dei Corsi di Studio e dei Dottorati un sostegno efficace, e facilmente fruibile da studenti, dottorandi, ricercatori e docenti.</w:t>
      </w:r>
    </w:p>
    <w:p w14:paraId="5EA88DBB" w14:textId="77777777" w:rsidR="00387B60" w:rsidRPr="00387B60" w:rsidRDefault="00387B60" w:rsidP="009F056B">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base anche sulla valutazione dell’Aspetto da Considerare di D.CDS.3.2.5 dei CdS oggetto di visita].</w:t>
      </w:r>
    </w:p>
    <w:p w14:paraId="03522ECF"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B.1.3.3 L’Ateneo verifica la qualità del supporto che il personale tecnico-amministrativo e i servizi assicurano a docenti, ricercatori e dottorandi nello svolgimento delle loro attività istituzionali.</w:t>
      </w:r>
    </w:p>
    <w:p w14:paraId="02DA5B0C" w14:textId="77777777" w:rsidR="00387B60" w:rsidRPr="00387B60" w:rsidRDefault="00387B60" w:rsidP="009F056B">
      <w:pPr>
        <w:spacing w:after="120" w:line="240" w:lineRule="auto"/>
        <w:ind w:left="714"/>
        <w:contextualSpacing/>
        <w:jc w:val="both"/>
        <w:rPr>
          <w:rFonts w:asciiTheme="majorHAnsi" w:eastAsia="Times New Roman" w:hAnsiTheme="majorHAnsi" w:cstheme="majorHAnsi"/>
          <w:i/>
          <w:sz w:val="18"/>
          <w:szCs w:val="18"/>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dei Punti di Attenzione D.CDS.3.2 ed E.DIP.4 dei CdS e dei Dipartimenti oggetto di visita].</w:t>
      </w:r>
    </w:p>
    <w:tbl>
      <w:tblPr>
        <w:tblStyle w:val="Grigliatabella"/>
        <w:tblW w:w="9639" w:type="dxa"/>
        <w:tblInd w:w="-5" w:type="dxa"/>
        <w:tblLook w:val="04A0" w:firstRow="1" w:lastRow="0" w:firstColumn="1" w:lastColumn="0" w:noHBand="0" w:noVBand="1"/>
      </w:tblPr>
      <w:tblGrid>
        <w:gridCol w:w="9639"/>
      </w:tblGrid>
      <w:tr w:rsidR="00387B60" w:rsidRPr="00387B60" w14:paraId="2A409E33" w14:textId="77777777" w:rsidTr="0075363B">
        <w:tc>
          <w:tcPr>
            <w:tcW w:w="9639" w:type="dxa"/>
            <w:shd w:val="clear" w:color="auto" w:fill="auto"/>
          </w:tcPr>
          <w:p w14:paraId="0DE39669" w14:textId="4C0999F4" w:rsidR="00387B60" w:rsidRDefault="00387B60" w:rsidP="00596994">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27640F5E" w14:textId="70410C00" w:rsidR="008420A4" w:rsidRDefault="008420A4" w:rsidP="00596994">
            <w:pPr>
              <w:spacing w:before="120" w:after="120"/>
              <w:ind w:right="141"/>
              <w:rPr>
                <w:rFonts w:asciiTheme="majorHAnsi" w:hAnsiTheme="majorHAnsi" w:cstheme="majorHAnsi"/>
                <w:b/>
                <w:bCs/>
              </w:rPr>
            </w:pPr>
            <w:r>
              <w:rPr>
                <w:rFonts w:asciiTheme="majorHAnsi" w:hAnsiTheme="majorHAnsi" w:cstheme="majorHAnsi"/>
                <w:b/>
                <w:bCs/>
              </w:rPr>
              <w:t>-----</w:t>
            </w:r>
          </w:p>
          <w:p w14:paraId="02D7C22B" w14:textId="0F43B6AF" w:rsidR="00CF01B9" w:rsidRPr="00387B60" w:rsidRDefault="008420A4" w:rsidP="00CF01B9">
            <w:pPr>
              <w:spacing w:before="120" w:after="120"/>
              <w:ind w:right="141"/>
              <w:rPr>
                <w:rFonts w:asciiTheme="majorHAnsi" w:hAnsiTheme="majorHAnsi" w:cstheme="majorHAnsi"/>
                <w:b/>
                <w:bCs/>
              </w:rPr>
            </w:pPr>
            <w:r>
              <w:rPr>
                <w:rFonts w:asciiTheme="majorHAnsi" w:hAnsiTheme="majorHAnsi" w:cstheme="majorHAnsi"/>
                <w:b/>
                <w:bCs/>
              </w:rPr>
              <w:t>-----</w:t>
            </w:r>
          </w:p>
        </w:tc>
      </w:tr>
      <w:tr w:rsidR="00387B60" w:rsidRPr="00387B60" w14:paraId="1766930E" w14:textId="77777777" w:rsidTr="0075363B">
        <w:tc>
          <w:tcPr>
            <w:tcW w:w="9639" w:type="dxa"/>
            <w:shd w:val="clear" w:color="auto" w:fill="auto"/>
          </w:tcPr>
          <w:p w14:paraId="0C01D550" w14:textId="77777777" w:rsidR="00387B60" w:rsidRPr="00387B60" w:rsidRDefault="00387B60" w:rsidP="00596994">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3D610CD1" w14:textId="77777777" w:rsidR="00387B60" w:rsidRPr="00387B60" w:rsidRDefault="00387B60" w:rsidP="00596994">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4F3594F4"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55A0251D" w14:textId="77777777" w:rsidR="00387B60" w:rsidRPr="00387B60" w:rsidRDefault="00387B60" w:rsidP="00596994">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7BBCA685" w14:textId="77777777" w:rsidR="00387B60" w:rsidRPr="00387B60" w:rsidRDefault="00387B60" w:rsidP="00596994">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0F4D261E" w14:textId="13CD38E9" w:rsidR="00387B60" w:rsidRDefault="00387B60" w:rsidP="00596994">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1DBC12A9"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532494FE"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3D74A592" w14:textId="77777777" w:rsidR="00387B60" w:rsidRPr="00387B60" w:rsidRDefault="00387B60" w:rsidP="00596994">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3F00AEF3" w14:textId="77777777" w:rsidR="00387B60" w:rsidRPr="00387B60" w:rsidRDefault="00387B60" w:rsidP="00596994">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1844831C" w14:textId="77777777" w:rsidR="00387B60" w:rsidRPr="00387B60" w:rsidRDefault="00387B60" w:rsidP="00383E3B">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5524374F" w14:textId="77777777" w:rsidR="00387B60" w:rsidRPr="00387B60" w:rsidRDefault="00387B60" w:rsidP="00387B60">
      <w:pPr>
        <w:spacing w:after="0" w:line="240" w:lineRule="auto"/>
        <w:jc w:val="both"/>
        <w:rPr>
          <w:rFonts w:asciiTheme="majorHAnsi" w:eastAsia="Times New Roman" w:hAnsiTheme="majorHAnsi" w:cstheme="majorHAnsi"/>
          <w:i/>
          <w:sz w:val="18"/>
          <w:szCs w:val="18"/>
          <w:lang w:eastAsia="it-IT"/>
        </w:rPr>
      </w:pPr>
    </w:p>
    <w:p w14:paraId="696AA684" w14:textId="77777777" w:rsidR="00387B60" w:rsidRPr="00387B60" w:rsidRDefault="00387B60" w:rsidP="00387B60">
      <w:pPr>
        <w:keepNext/>
        <w:keepLines/>
        <w:spacing w:before="40" w:after="120"/>
        <w:outlineLvl w:val="1"/>
        <w:rPr>
          <w:rFonts w:asciiTheme="majorHAnsi" w:eastAsiaTheme="majorEastAsia" w:hAnsiTheme="majorHAnsi" w:cstheme="majorHAnsi"/>
          <w:b/>
          <w:sz w:val="24"/>
          <w:szCs w:val="24"/>
          <w:lang w:eastAsia="it-IT"/>
        </w:rPr>
      </w:pPr>
      <w:bookmarkStart w:id="15" w:name="_Toc169793581"/>
      <w:r w:rsidRPr="00387B60">
        <w:rPr>
          <w:rFonts w:asciiTheme="majorHAnsi" w:eastAsiaTheme="majorEastAsia" w:hAnsiTheme="majorHAnsi" w:cstheme="majorHAnsi"/>
          <w:b/>
          <w:sz w:val="24"/>
          <w:szCs w:val="24"/>
          <w:lang w:eastAsia="it-IT"/>
        </w:rPr>
        <w:lastRenderedPageBreak/>
        <w:t>Sotto Ambito B.2 Risorse finanziarie</w:t>
      </w:r>
      <w:bookmarkEnd w:id="15"/>
    </w:p>
    <w:p w14:paraId="3B830778" w14:textId="77777777" w:rsidR="00387B60" w:rsidRPr="00387B60" w:rsidRDefault="00387B60" w:rsidP="00387B60">
      <w:pPr>
        <w:keepNext/>
        <w:keepLines/>
        <w:spacing w:before="40" w:after="120"/>
        <w:ind w:firstLine="284"/>
        <w:outlineLvl w:val="2"/>
        <w:rPr>
          <w:rFonts w:asciiTheme="majorHAnsi" w:eastAsiaTheme="majorEastAsia" w:hAnsiTheme="majorHAnsi" w:cstheme="majorHAnsi"/>
          <w:b/>
          <w:szCs w:val="24"/>
          <w:lang w:eastAsia="it-IT"/>
        </w:rPr>
      </w:pPr>
      <w:bookmarkStart w:id="16" w:name="_Toc169793582"/>
      <w:r w:rsidRPr="00387B60">
        <w:rPr>
          <w:rFonts w:asciiTheme="majorHAnsi" w:eastAsiaTheme="majorEastAsia" w:hAnsiTheme="majorHAnsi" w:cstheme="majorHAnsi"/>
          <w:b/>
          <w:i/>
          <w:szCs w:val="24"/>
          <w:lang w:eastAsia="it-IT"/>
        </w:rPr>
        <w:t>PdA</w:t>
      </w:r>
      <w:r w:rsidRPr="00387B60">
        <w:rPr>
          <w:rFonts w:asciiTheme="majorHAnsi" w:eastAsiaTheme="majorEastAsia" w:hAnsiTheme="majorHAnsi" w:cstheme="majorHAnsi"/>
          <w:b/>
          <w:szCs w:val="24"/>
          <w:lang w:eastAsia="it-IT"/>
        </w:rPr>
        <w:t xml:space="preserve"> B.2.1 Pianificazione e gestione delle risorse finanziarie</w:t>
      </w:r>
      <w:bookmarkEnd w:id="16"/>
    </w:p>
    <w:p w14:paraId="2CC2678D" w14:textId="77777777" w:rsidR="00387B60" w:rsidRPr="00387B60" w:rsidRDefault="00387B60" w:rsidP="00387B60">
      <w:pPr>
        <w:ind w:firstLine="426"/>
        <w:rPr>
          <w:rFonts w:ascii="Calibri" w:eastAsia="Times New Roman" w:hAnsi="Calibri" w:cs="Times New Roman"/>
          <w:sz w:val="20"/>
          <w:szCs w:val="20"/>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p>
    <w:p w14:paraId="390B67B6"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18"/>
          <w:szCs w:val="18"/>
          <w:lang w:eastAsia="it-IT"/>
        </w:rPr>
      </w:pPr>
      <w:r w:rsidRPr="00387B60">
        <w:rPr>
          <w:rFonts w:asciiTheme="majorHAnsi" w:eastAsia="Times New Roman" w:hAnsiTheme="majorHAnsi" w:cstheme="majorHAnsi"/>
          <w:i/>
          <w:sz w:val="18"/>
          <w:szCs w:val="18"/>
          <w:lang w:eastAsia="it-IT"/>
        </w:rPr>
        <w:t>B.2.1.1 L’Ateneo definisce e attua una strategia di pianificazione economico-finanziaria a supporto delle politiche e delle strategie dell’Ateneo per la didattica, la ricerca, la terza missione/impatto sociale e le altre attività istituzionali e gestionali.</w:t>
      </w:r>
    </w:p>
    <w:p w14:paraId="059682A5"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18"/>
          <w:szCs w:val="18"/>
          <w:lang w:eastAsia="it-IT"/>
        </w:rPr>
      </w:pPr>
      <w:r w:rsidRPr="00387B60">
        <w:rPr>
          <w:rFonts w:asciiTheme="majorHAnsi" w:eastAsia="Times New Roman" w:hAnsiTheme="majorHAnsi" w:cstheme="majorHAnsi"/>
          <w:i/>
          <w:sz w:val="18"/>
          <w:szCs w:val="18"/>
          <w:lang w:eastAsia="it-IT"/>
        </w:rPr>
        <w:t>B.2.1.2 I budget triennali e annuali dell’Ateneo (economico e degli investimenti) sono coerenti con la pianificazione strategica dell’Ateneo, definiti tramite proiezioni motivate e attendibili e assicurano il raggiungimento degli obiettivi fissati.</w:t>
      </w:r>
    </w:p>
    <w:p w14:paraId="7A1E9907"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18"/>
          <w:szCs w:val="18"/>
          <w:lang w:eastAsia="it-IT"/>
        </w:rPr>
      </w:pPr>
      <w:r w:rsidRPr="00387B60">
        <w:rPr>
          <w:rFonts w:asciiTheme="majorHAnsi" w:eastAsia="Times New Roman" w:hAnsiTheme="majorHAnsi" w:cstheme="majorHAnsi"/>
          <w:i/>
          <w:sz w:val="18"/>
          <w:szCs w:val="18"/>
          <w:lang w:eastAsia="it-IT"/>
        </w:rPr>
        <w:t>B.2.1.3</w:t>
      </w:r>
      <w:r w:rsidRPr="00387B60">
        <w:rPr>
          <w:rFonts w:asciiTheme="majorHAnsi" w:eastAsia="Times New Roman" w:hAnsiTheme="majorHAnsi" w:cstheme="majorHAnsi"/>
          <w:sz w:val="20"/>
          <w:szCs w:val="20"/>
          <w:lang w:eastAsia="it-IT"/>
        </w:rPr>
        <w:t xml:space="preserve"> </w:t>
      </w:r>
      <w:r w:rsidRPr="00387B60">
        <w:rPr>
          <w:rFonts w:asciiTheme="majorHAnsi" w:eastAsia="Times New Roman" w:hAnsiTheme="majorHAnsi" w:cstheme="majorHAnsi"/>
          <w:i/>
          <w:sz w:val="18"/>
          <w:szCs w:val="18"/>
          <w:lang w:eastAsia="it-IT"/>
        </w:rPr>
        <w:t>L’Ateneo si è dotato di un adeguato sistema di contabilità analitica e di controllo di gestione a supporto delle decisioni.</w:t>
      </w:r>
    </w:p>
    <w:p w14:paraId="02E19E61" w14:textId="2872CAE3" w:rsidR="00387B60" w:rsidRDefault="00387B60" w:rsidP="00387B60">
      <w:pPr>
        <w:numPr>
          <w:ilvl w:val="0"/>
          <w:numId w:val="7"/>
        </w:numPr>
        <w:spacing w:after="120" w:line="240" w:lineRule="auto"/>
        <w:ind w:left="714" w:hanging="357"/>
        <w:contextualSpacing/>
        <w:jc w:val="both"/>
        <w:rPr>
          <w:rFonts w:asciiTheme="majorHAnsi" w:eastAsia="Times New Roman" w:hAnsiTheme="majorHAnsi" w:cstheme="majorHAnsi"/>
          <w:i/>
          <w:sz w:val="18"/>
          <w:szCs w:val="18"/>
          <w:lang w:eastAsia="it-IT"/>
        </w:rPr>
      </w:pPr>
      <w:r w:rsidRPr="00387B60">
        <w:rPr>
          <w:rFonts w:asciiTheme="majorHAnsi" w:eastAsia="Times New Roman" w:hAnsiTheme="majorHAnsi" w:cstheme="majorHAnsi"/>
          <w:i/>
          <w:sz w:val="18"/>
          <w:szCs w:val="18"/>
          <w:lang w:eastAsia="it-IT"/>
        </w:rPr>
        <w:t>B.2.1.4 Dall’analisi dei risultati di bilancio degli ultimi tre esercizi, dei budget annuali e triennali e dall’andamento degli indicatori di spesa per il personale, di indebitamento e di sostenibilità economico finanziaria si riscontra la piena sostenibilità degli equilibri economico-finanziari.</w:t>
      </w:r>
    </w:p>
    <w:p w14:paraId="56DE3404" w14:textId="77777777" w:rsidR="00383E3B" w:rsidRPr="00387B60" w:rsidRDefault="00383E3B" w:rsidP="00383E3B">
      <w:pPr>
        <w:spacing w:after="120" w:line="240" w:lineRule="auto"/>
        <w:ind w:left="714"/>
        <w:contextualSpacing/>
        <w:jc w:val="both"/>
        <w:rPr>
          <w:rFonts w:asciiTheme="majorHAnsi" w:eastAsia="Times New Roman" w:hAnsiTheme="majorHAnsi" w:cstheme="majorHAnsi"/>
          <w:i/>
          <w:sz w:val="18"/>
          <w:szCs w:val="18"/>
          <w:lang w:eastAsia="it-IT"/>
        </w:rPr>
      </w:pPr>
    </w:p>
    <w:tbl>
      <w:tblPr>
        <w:tblStyle w:val="Grigliatabella"/>
        <w:tblW w:w="9781" w:type="dxa"/>
        <w:tblInd w:w="-5" w:type="dxa"/>
        <w:tblLook w:val="04A0" w:firstRow="1" w:lastRow="0" w:firstColumn="1" w:lastColumn="0" w:noHBand="0" w:noVBand="1"/>
      </w:tblPr>
      <w:tblGrid>
        <w:gridCol w:w="9781"/>
      </w:tblGrid>
      <w:tr w:rsidR="00387B60" w:rsidRPr="00387B60" w14:paraId="21C271BB" w14:textId="77777777" w:rsidTr="0075363B">
        <w:tc>
          <w:tcPr>
            <w:tcW w:w="9781" w:type="dxa"/>
            <w:shd w:val="clear" w:color="auto" w:fill="auto"/>
          </w:tcPr>
          <w:p w14:paraId="24859408" w14:textId="77777777" w:rsidR="00387B60" w:rsidRPr="00387B60" w:rsidRDefault="00387B60" w:rsidP="00383E3B">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338CB181" w14:textId="77777777" w:rsidR="00387B60" w:rsidRPr="00387B60" w:rsidRDefault="00387B60" w:rsidP="00383E3B">
            <w:pPr>
              <w:spacing w:before="120" w:after="120"/>
              <w:ind w:right="141"/>
              <w:rPr>
                <w:rFonts w:asciiTheme="majorHAnsi" w:hAnsiTheme="majorHAnsi" w:cstheme="majorHAnsi"/>
                <w:b/>
                <w:bCs/>
              </w:rPr>
            </w:pPr>
            <w:r w:rsidRPr="00387B60">
              <w:rPr>
                <w:rFonts w:asciiTheme="majorHAnsi" w:hAnsiTheme="majorHAnsi" w:cstheme="majorHAnsi"/>
                <w:b/>
                <w:bCs/>
              </w:rPr>
              <w:t>…</w:t>
            </w:r>
          </w:p>
          <w:p w14:paraId="37826DFE" w14:textId="77777777" w:rsidR="00387B60" w:rsidRPr="00387B60" w:rsidRDefault="00387B60" w:rsidP="00383E3B">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2E5C9F8B" w14:textId="77777777" w:rsidTr="0075363B">
        <w:tc>
          <w:tcPr>
            <w:tcW w:w="9781" w:type="dxa"/>
            <w:shd w:val="clear" w:color="auto" w:fill="auto"/>
          </w:tcPr>
          <w:p w14:paraId="3B91DF36" w14:textId="77777777" w:rsidR="00387B60" w:rsidRPr="00387B60" w:rsidRDefault="00387B60" w:rsidP="00383E3B">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662CF102" w14:textId="05304925" w:rsidR="00387B60" w:rsidRPr="00387B60" w:rsidRDefault="00383E3B" w:rsidP="00383E3B">
            <w:pPr>
              <w:spacing w:before="120" w:after="120"/>
              <w:ind w:right="141"/>
              <w:rPr>
                <w:rFonts w:asciiTheme="majorHAnsi" w:hAnsiTheme="majorHAnsi" w:cstheme="majorHAnsi"/>
                <w:b/>
                <w:bCs/>
              </w:rPr>
            </w:pPr>
            <w:r>
              <w:rPr>
                <w:rFonts w:asciiTheme="majorHAnsi" w:hAnsiTheme="majorHAnsi" w:cstheme="majorHAnsi"/>
                <w:b/>
                <w:bCs/>
              </w:rPr>
              <w:t>D</w:t>
            </w:r>
            <w:r w:rsidR="00387B60" w:rsidRPr="00387B60">
              <w:rPr>
                <w:rFonts w:asciiTheme="majorHAnsi" w:hAnsiTheme="majorHAnsi" w:cstheme="majorHAnsi"/>
                <w:b/>
                <w:bCs/>
              </w:rPr>
              <w:t>ocumenti chiave:</w:t>
            </w:r>
          </w:p>
          <w:p w14:paraId="6526C41F"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1B3ED6C5" w14:textId="77777777" w:rsidR="00387B60" w:rsidRPr="00387B60" w:rsidRDefault="00387B60" w:rsidP="00383E3B">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54C2008F" w14:textId="77777777" w:rsidR="00387B60" w:rsidRPr="00387B60" w:rsidRDefault="00387B60" w:rsidP="00383E3B">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319C423F" w14:textId="77777777" w:rsidR="00387B60" w:rsidRPr="00387B60" w:rsidRDefault="00387B60" w:rsidP="00383E3B">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52A62BA0"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4BE47091"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15BF438B" w14:textId="77777777" w:rsidR="00387B60" w:rsidRPr="00387B60" w:rsidRDefault="00387B60" w:rsidP="00383E3B">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658EEF4E" w14:textId="77777777" w:rsidR="00387B60" w:rsidRPr="00387B60" w:rsidRDefault="00387B60" w:rsidP="00383E3B">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377F6BF0" w14:textId="77777777" w:rsidR="00387B60" w:rsidRPr="00387B60" w:rsidRDefault="00387B60" w:rsidP="00383E3B">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73019687" w14:textId="77777777" w:rsidR="0027395B" w:rsidRDefault="0027395B" w:rsidP="00387B60">
      <w:pPr>
        <w:keepNext/>
        <w:keepLines/>
        <w:spacing w:before="240" w:after="120"/>
        <w:outlineLvl w:val="1"/>
        <w:rPr>
          <w:rFonts w:asciiTheme="majorHAnsi" w:eastAsiaTheme="majorEastAsia" w:hAnsiTheme="majorHAnsi" w:cstheme="majorHAnsi"/>
          <w:b/>
          <w:iCs/>
          <w:sz w:val="24"/>
          <w:szCs w:val="24"/>
          <w:lang w:eastAsia="it-IT"/>
        </w:rPr>
      </w:pPr>
      <w:bookmarkStart w:id="17" w:name="_Toc169793583"/>
    </w:p>
    <w:p w14:paraId="32616AAB" w14:textId="21D7E890" w:rsidR="00387B60" w:rsidRPr="00387B60" w:rsidRDefault="00387B60" w:rsidP="00387B60">
      <w:pPr>
        <w:keepNext/>
        <w:keepLines/>
        <w:spacing w:before="240" w:after="120"/>
        <w:outlineLvl w:val="1"/>
        <w:rPr>
          <w:rFonts w:asciiTheme="majorHAnsi" w:eastAsiaTheme="majorEastAsia" w:hAnsiTheme="majorHAnsi" w:cstheme="majorHAnsi"/>
          <w:b/>
          <w:iCs/>
          <w:sz w:val="24"/>
          <w:szCs w:val="24"/>
          <w:lang w:eastAsia="it-IT"/>
        </w:rPr>
      </w:pPr>
      <w:r w:rsidRPr="00387B60">
        <w:rPr>
          <w:rFonts w:asciiTheme="majorHAnsi" w:eastAsiaTheme="majorEastAsia" w:hAnsiTheme="majorHAnsi" w:cstheme="majorHAnsi"/>
          <w:b/>
          <w:iCs/>
          <w:sz w:val="24"/>
          <w:szCs w:val="24"/>
          <w:lang w:eastAsia="it-IT"/>
        </w:rPr>
        <w:t>Sotto ambito B.3 Strutture</w:t>
      </w:r>
      <w:bookmarkEnd w:id="17"/>
    </w:p>
    <w:p w14:paraId="5E45ED6C" w14:textId="77777777" w:rsidR="00387B60" w:rsidRPr="00387B60" w:rsidRDefault="00387B60" w:rsidP="00387B60">
      <w:pPr>
        <w:keepNext/>
        <w:keepLines/>
        <w:spacing w:before="40" w:after="120"/>
        <w:ind w:firstLine="284"/>
        <w:outlineLvl w:val="2"/>
        <w:rPr>
          <w:rFonts w:asciiTheme="majorHAnsi" w:eastAsiaTheme="majorEastAsia" w:hAnsiTheme="majorHAnsi" w:cstheme="majorHAnsi"/>
          <w:b/>
          <w:szCs w:val="24"/>
          <w:lang w:eastAsia="it-IT"/>
        </w:rPr>
      </w:pPr>
      <w:bookmarkStart w:id="18" w:name="_Toc169793584"/>
      <w:r w:rsidRPr="00387B60">
        <w:rPr>
          <w:rFonts w:asciiTheme="majorHAnsi" w:eastAsiaTheme="majorEastAsia" w:hAnsiTheme="majorHAnsi" w:cstheme="majorHAnsi"/>
          <w:b/>
          <w:i/>
          <w:iCs/>
          <w:szCs w:val="24"/>
          <w:lang w:eastAsia="it-IT"/>
        </w:rPr>
        <w:t>PdA</w:t>
      </w:r>
      <w:r w:rsidRPr="00387B60">
        <w:rPr>
          <w:rFonts w:asciiTheme="majorHAnsi" w:eastAsiaTheme="majorEastAsia" w:hAnsiTheme="majorHAnsi" w:cstheme="majorHAnsi"/>
          <w:b/>
          <w:iCs/>
          <w:szCs w:val="24"/>
          <w:lang w:eastAsia="it-IT"/>
        </w:rPr>
        <w:t xml:space="preserve"> B.3.1 </w:t>
      </w:r>
      <w:r w:rsidRPr="00387B60">
        <w:rPr>
          <w:rFonts w:asciiTheme="majorHAnsi" w:eastAsiaTheme="majorEastAsia" w:hAnsiTheme="majorHAnsi" w:cstheme="majorHAnsi"/>
          <w:b/>
          <w:szCs w:val="24"/>
          <w:lang w:eastAsia="it-IT"/>
        </w:rPr>
        <w:t>Pianificazione e gestione delle strutture e infrastrutture edilizie</w:t>
      </w:r>
      <w:bookmarkEnd w:id="18"/>
    </w:p>
    <w:p w14:paraId="3BB23721" w14:textId="77777777" w:rsidR="00387B60" w:rsidRPr="00387B60" w:rsidRDefault="00387B60" w:rsidP="00387B60">
      <w:pPr>
        <w:ind w:firstLine="426"/>
        <w:rPr>
          <w:rFonts w:ascii="Calibri" w:eastAsia="Times New Roman" w:hAnsi="Calibri" w:cs="Times New Roman"/>
          <w:b/>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p>
    <w:p w14:paraId="3EF9C03C"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18"/>
          <w:szCs w:val="18"/>
          <w:lang w:eastAsia="it-IT"/>
        </w:rPr>
      </w:pPr>
      <w:r w:rsidRPr="00387B60">
        <w:rPr>
          <w:rFonts w:asciiTheme="majorHAnsi" w:eastAsia="Times New Roman" w:hAnsiTheme="majorHAnsi" w:cstheme="majorHAnsi"/>
          <w:i/>
          <w:sz w:val="18"/>
          <w:szCs w:val="18"/>
          <w:lang w:eastAsia="it-IT"/>
        </w:rPr>
        <w:t>B.3.1.1 L’Ateneo definisce e attua, in coerenza con la propria pianificazione strategica, una strategia di gestione delle strutture e infrastrutture edilizie a supporto delle proprie missioni e attività istituzionali e gestionali, bilanciando l’efficacia e l’efficienza delle strutture con i bisogni e le aspettative del personale (docente e tecnico-amministrativo), degli studenti e degli altri portatori di interesse.</w:t>
      </w:r>
    </w:p>
    <w:p w14:paraId="0E509012"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18"/>
          <w:szCs w:val="18"/>
          <w:lang w:eastAsia="it-IT"/>
        </w:rPr>
      </w:pPr>
      <w:r w:rsidRPr="00387B60">
        <w:rPr>
          <w:rFonts w:asciiTheme="majorHAnsi" w:eastAsia="Times New Roman" w:hAnsiTheme="majorHAnsi" w:cstheme="majorHAnsi"/>
          <w:i/>
          <w:sz w:val="18"/>
          <w:szCs w:val="18"/>
          <w:lang w:eastAsia="it-IT"/>
        </w:rPr>
        <w:t>B.3.1.2 L’Ateneo garantisce la manutenzione ordinaria e straordinaria delle strutture e infrastrutture edilizie e dei relativi impianti tecnologici, con interventi pianificati e sostenibili, volti a prevenirne il degrado e a migliorarne le prestazioni e la durata nel tempo.</w:t>
      </w:r>
    </w:p>
    <w:p w14:paraId="43B3C6F3"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18"/>
          <w:szCs w:val="18"/>
          <w:lang w:eastAsia="it-IT"/>
        </w:rPr>
      </w:pPr>
      <w:r w:rsidRPr="00387B60">
        <w:rPr>
          <w:rFonts w:asciiTheme="majorHAnsi" w:eastAsia="Times New Roman" w:hAnsiTheme="majorHAnsi" w:cstheme="majorHAnsi"/>
          <w:i/>
          <w:sz w:val="18"/>
          <w:szCs w:val="18"/>
          <w:lang w:eastAsia="it-IT"/>
        </w:rPr>
        <w:t>B.3.1.3 L’Ateneo garantisce l’accessibilità degli edifici agli utenti interni ed esterni, con particolare attenzione alle persone con disabilità.</w:t>
      </w:r>
    </w:p>
    <w:p w14:paraId="62E42BE5"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18"/>
          <w:szCs w:val="18"/>
          <w:lang w:eastAsia="it-IT"/>
        </w:rPr>
      </w:pPr>
      <w:r w:rsidRPr="00387B60">
        <w:rPr>
          <w:rFonts w:asciiTheme="majorHAnsi" w:eastAsia="Times New Roman" w:hAnsiTheme="majorHAnsi" w:cstheme="majorHAnsi"/>
          <w:i/>
          <w:sz w:val="18"/>
          <w:szCs w:val="18"/>
          <w:lang w:eastAsia="it-IT"/>
        </w:rPr>
        <w:t>B.3.1.4 L’Ateneo assicura un impiego ecologicamente sostenibile delle risorse lungo tutto il loro ciclo di vita, anche</w:t>
      </w:r>
      <w:r w:rsidRPr="00387B60">
        <w:rPr>
          <w:rFonts w:asciiTheme="majorHAnsi" w:eastAsia="Times New Roman" w:hAnsiTheme="majorHAnsi" w:cstheme="majorHAnsi"/>
          <w:sz w:val="20"/>
          <w:szCs w:val="20"/>
          <w:lang w:eastAsia="it-IT"/>
        </w:rPr>
        <w:t xml:space="preserve"> </w:t>
      </w:r>
      <w:r w:rsidRPr="00387B60">
        <w:rPr>
          <w:rFonts w:asciiTheme="majorHAnsi" w:eastAsia="Times New Roman" w:hAnsiTheme="majorHAnsi" w:cstheme="majorHAnsi"/>
          <w:i/>
          <w:sz w:val="18"/>
          <w:szCs w:val="18"/>
          <w:lang w:eastAsia="it-IT"/>
        </w:rPr>
        <w:t>attraverso l’istituzione di figure e funzioni dedicate (come, ad esempio, energy manager e mobility manager).</w:t>
      </w:r>
    </w:p>
    <w:p w14:paraId="6674E54D" w14:textId="77777777" w:rsidR="00387B60" w:rsidRPr="00387B60" w:rsidRDefault="00387B60" w:rsidP="00387B60">
      <w:pPr>
        <w:spacing w:after="0" w:line="240" w:lineRule="auto"/>
        <w:jc w:val="both"/>
        <w:rPr>
          <w:rFonts w:asciiTheme="majorHAnsi" w:eastAsia="Times New Roman" w:hAnsiTheme="majorHAnsi" w:cstheme="majorHAnsi"/>
          <w:i/>
          <w:sz w:val="18"/>
          <w:szCs w:val="18"/>
          <w:lang w:eastAsia="it-IT"/>
        </w:rPr>
      </w:pPr>
    </w:p>
    <w:tbl>
      <w:tblPr>
        <w:tblStyle w:val="Grigliatabella"/>
        <w:tblW w:w="9639" w:type="dxa"/>
        <w:tblInd w:w="-5" w:type="dxa"/>
        <w:tblLook w:val="04A0" w:firstRow="1" w:lastRow="0" w:firstColumn="1" w:lastColumn="0" w:noHBand="0" w:noVBand="1"/>
      </w:tblPr>
      <w:tblGrid>
        <w:gridCol w:w="9639"/>
      </w:tblGrid>
      <w:tr w:rsidR="00387B60" w:rsidRPr="00387B60" w14:paraId="34A8B18B" w14:textId="77777777" w:rsidTr="0075363B">
        <w:tc>
          <w:tcPr>
            <w:tcW w:w="9639" w:type="dxa"/>
            <w:shd w:val="clear" w:color="auto" w:fill="auto"/>
          </w:tcPr>
          <w:p w14:paraId="2D8DB781" w14:textId="77777777" w:rsidR="00387B60" w:rsidRPr="00387B60" w:rsidRDefault="00387B60" w:rsidP="0027395B">
            <w:pPr>
              <w:spacing w:before="120" w:after="120"/>
              <w:ind w:right="141"/>
              <w:rPr>
                <w:rFonts w:asciiTheme="majorHAnsi" w:hAnsiTheme="majorHAnsi" w:cstheme="majorHAnsi"/>
                <w:b/>
                <w:bCs/>
              </w:rPr>
            </w:pPr>
            <w:r w:rsidRPr="00387B60">
              <w:rPr>
                <w:rFonts w:asciiTheme="majorHAnsi" w:hAnsiTheme="majorHAnsi" w:cstheme="majorHAnsi"/>
                <w:b/>
                <w:bCs/>
              </w:rPr>
              <w:lastRenderedPageBreak/>
              <w:t>Autovalutazione (non più di 2.000 parole)</w:t>
            </w:r>
          </w:p>
          <w:p w14:paraId="30C5A55C" w14:textId="77777777" w:rsidR="00387B60" w:rsidRPr="00387B60" w:rsidRDefault="00387B60" w:rsidP="0027395B">
            <w:pPr>
              <w:spacing w:before="120" w:after="120"/>
              <w:ind w:right="141"/>
              <w:rPr>
                <w:rFonts w:asciiTheme="majorHAnsi" w:hAnsiTheme="majorHAnsi" w:cstheme="majorHAnsi"/>
                <w:b/>
                <w:bCs/>
              </w:rPr>
            </w:pPr>
            <w:r w:rsidRPr="00387B60">
              <w:rPr>
                <w:rFonts w:asciiTheme="majorHAnsi" w:hAnsiTheme="majorHAnsi" w:cstheme="majorHAnsi"/>
                <w:b/>
                <w:bCs/>
              </w:rPr>
              <w:t>…</w:t>
            </w:r>
          </w:p>
          <w:p w14:paraId="29657791" w14:textId="77777777" w:rsidR="00387B60" w:rsidRPr="00387B60" w:rsidRDefault="00387B60" w:rsidP="0027395B">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1AA5310A" w14:textId="77777777" w:rsidTr="0075363B">
        <w:tc>
          <w:tcPr>
            <w:tcW w:w="9639" w:type="dxa"/>
            <w:shd w:val="clear" w:color="auto" w:fill="auto"/>
          </w:tcPr>
          <w:p w14:paraId="46B0005B" w14:textId="77777777" w:rsidR="00387B60" w:rsidRPr="00387B60" w:rsidRDefault="00387B60" w:rsidP="0027395B">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690A7B3F" w14:textId="77777777" w:rsidR="00387B60" w:rsidRPr="00387B60" w:rsidRDefault="00387B60" w:rsidP="0027395B">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52271812"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40D351DE" w14:textId="77777777" w:rsidR="00387B60" w:rsidRPr="00387B60" w:rsidRDefault="00387B60" w:rsidP="0027395B">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05F877A3" w14:textId="77777777" w:rsidR="00387B60" w:rsidRPr="00387B60" w:rsidRDefault="00387B60" w:rsidP="0027395B">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28124E5B" w14:textId="77777777" w:rsidR="00387B60" w:rsidRPr="00387B60" w:rsidRDefault="00387B60" w:rsidP="0027395B">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6154BDFE"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0B099750"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09FE89F8" w14:textId="77777777" w:rsidR="00387B60" w:rsidRPr="00387B60" w:rsidRDefault="00387B60" w:rsidP="0027395B">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04FFA186" w14:textId="77777777" w:rsidR="00387B60" w:rsidRPr="00387B60" w:rsidRDefault="00387B60" w:rsidP="0027395B">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5DE44E85" w14:textId="77777777" w:rsidR="00387B60" w:rsidRPr="00387B60" w:rsidRDefault="00387B60" w:rsidP="0027395B">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4E57159D" w14:textId="77777777" w:rsidR="00387B60" w:rsidRPr="008D132C" w:rsidRDefault="00387B60" w:rsidP="00387B60">
      <w:pPr>
        <w:keepNext/>
        <w:keepLines/>
        <w:spacing w:before="360" w:after="120"/>
        <w:ind w:firstLine="284"/>
        <w:jc w:val="both"/>
        <w:outlineLvl w:val="2"/>
        <w:rPr>
          <w:rFonts w:asciiTheme="majorHAnsi" w:eastAsiaTheme="majorEastAsia" w:hAnsiTheme="majorHAnsi" w:cstheme="majorHAnsi"/>
          <w:b/>
          <w:szCs w:val="24"/>
          <w:lang w:eastAsia="it-IT"/>
        </w:rPr>
      </w:pPr>
      <w:bookmarkStart w:id="19" w:name="_Toc169793585"/>
      <w:r w:rsidRPr="008D132C">
        <w:rPr>
          <w:rFonts w:asciiTheme="majorHAnsi" w:eastAsiaTheme="majorEastAsia" w:hAnsiTheme="majorHAnsi" w:cstheme="majorHAnsi"/>
          <w:b/>
          <w:i/>
          <w:szCs w:val="24"/>
          <w:lang w:eastAsia="it-IT"/>
        </w:rPr>
        <w:t>PdA</w:t>
      </w:r>
      <w:r w:rsidRPr="008D132C">
        <w:rPr>
          <w:rFonts w:asciiTheme="majorHAnsi" w:eastAsiaTheme="majorEastAsia" w:hAnsiTheme="majorHAnsi" w:cstheme="majorHAnsi"/>
          <w:b/>
          <w:szCs w:val="24"/>
          <w:lang w:eastAsia="it-IT"/>
        </w:rPr>
        <w:t xml:space="preserve"> B</w:t>
      </w:r>
      <w:r w:rsidRPr="008D132C">
        <w:rPr>
          <w:rFonts w:asciiTheme="majorHAnsi" w:eastAsiaTheme="majorEastAsia" w:hAnsiTheme="majorHAnsi" w:cstheme="majorHAnsi"/>
          <w:b/>
          <w:iCs/>
          <w:szCs w:val="24"/>
          <w:lang w:eastAsia="it-IT"/>
        </w:rPr>
        <w:t xml:space="preserve">.3.2 </w:t>
      </w:r>
      <w:r w:rsidRPr="008D132C">
        <w:rPr>
          <w:rFonts w:asciiTheme="majorHAnsi" w:eastAsiaTheme="majorEastAsia" w:hAnsiTheme="majorHAnsi" w:cstheme="majorHAnsi"/>
          <w:b/>
          <w:szCs w:val="24"/>
          <w:lang w:eastAsia="it-IT"/>
        </w:rPr>
        <w:t>Adeguatezza delle strutture e infrastrutture edilizie per la didattica, la ricerca e la terza missione/impatto sociale</w:t>
      </w:r>
      <w:bookmarkEnd w:id="19"/>
    </w:p>
    <w:p w14:paraId="7DE4FEB9" w14:textId="77777777" w:rsidR="00387B60" w:rsidRPr="00387B60" w:rsidRDefault="00387B60" w:rsidP="00387B60">
      <w:pPr>
        <w:ind w:firstLine="426"/>
        <w:rPr>
          <w:rFonts w:ascii="Calibri" w:eastAsia="Times New Roman" w:hAnsi="Calibri" w:cs="Times New Roman"/>
          <w:b/>
          <w:lang w:eastAsia="it-IT"/>
        </w:rPr>
      </w:pPr>
      <w:r w:rsidRPr="00387B60">
        <w:rPr>
          <w:rFonts w:ascii="Calibri" w:eastAsia="Times New Roman" w:hAnsi="Calibri" w:cs="Times New Roman"/>
          <w:b/>
          <w:i/>
          <w:sz w:val="20"/>
          <w:szCs w:val="20"/>
          <w:lang w:eastAsia="it-IT"/>
        </w:rPr>
        <w:t xml:space="preserve">AdC </w:t>
      </w:r>
      <w:r w:rsidRPr="00387B60">
        <w:rPr>
          <w:rFonts w:ascii="Calibri" w:eastAsia="Times New Roman" w:hAnsi="Calibri" w:cs="Times New Roman"/>
          <w:b/>
          <w:sz w:val="20"/>
          <w:szCs w:val="20"/>
          <w:lang w:eastAsia="it-IT"/>
        </w:rPr>
        <w:t>che vanno affrontati nell’Autovalutazione:</w:t>
      </w:r>
    </w:p>
    <w:p w14:paraId="550D057A" w14:textId="77777777" w:rsidR="00387B60" w:rsidRPr="00387B60" w:rsidRDefault="00387B60" w:rsidP="00387B60">
      <w:pPr>
        <w:numPr>
          <w:ilvl w:val="0"/>
          <w:numId w:val="7"/>
        </w:numPr>
        <w:spacing w:after="120" w:line="276" w:lineRule="auto"/>
        <w:contextualSpacing/>
        <w:jc w:val="both"/>
        <w:rPr>
          <w:rFonts w:asciiTheme="majorHAnsi" w:eastAsia="Times New Roman" w:hAnsiTheme="majorHAnsi" w:cstheme="majorHAnsi"/>
          <w:i/>
          <w:iCs/>
          <w:sz w:val="18"/>
          <w:szCs w:val="18"/>
          <w:lang w:eastAsia="it-IT"/>
        </w:rPr>
      </w:pPr>
      <w:r w:rsidRPr="00387B60">
        <w:rPr>
          <w:rFonts w:asciiTheme="majorHAnsi" w:eastAsia="Times New Roman" w:hAnsiTheme="majorHAnsi" w:cstheme="majorHAnsi"/>
          <w:i/>
          <w:iCs/>
          <w:sz w:val="18"/>
          <w:szCs w:val="18"/>
          <w:lang w:eastAsia="it-IT"/>
        </w:rPr>
        <w:t>B.3.2.1 L’Ateneo dispone e verifica sistematicamente la dotazione di adeguate risorse edilizie strutturali e infrastrutturali a disposizione delle Scuole/Facoltà e dei Dipartimenti (o strutture assimilate) per lo svolgimento delle attività didattiche, di ricerca e di terza missione/impatto sociale facilmente fruibili da docenti e studenti, ivi comprese le persone con disabilità o con necessità particolari.</w:t>
      </w:r>
    </w:p>
    <w:p w14:paraId="6F980657" w14:textId="77777777" w:rsidR="00387B60" w:rsidRPr="00387B60" w:rsidRDefault="00387B60" w:rsidP="00311325">
      <w:pPr>
        <w:spacing w:after="120" w:line="276" w:lineRule="auto"/>
        <w:ind w:left="720"/>
        <w:contextualSpacing/>
        <w:jc w:val="both"/>
        <w:rPr>
          <w:rFonts w:asciiTheme="majorHAnsi" w:eastAsia="Times New Roman" w:hAnsiTheme="majorHAnsi" w:cstheme="majorHAnsi"/>
          <w:i/>
          <w:iCs/>
          <w:sz w:val="18"/>
          <w:szCs w:val="18"/>
          <w:lang w:eastAsia="it-IT"/>
        </w:rPr>
      </w:pPr>
      <w:r w:rsidRPr="00387B60">
        <w:rPr>
          <w:rFonts w:asciiTheme="majorHAnsi" w:eastAsia="Times New Roman" w:hAnsiTheme="majorHAnsi" w:cstheme="majorHAnsi"/>
          <w:i/>
          <w:iCs/>
          <w:sz w:val="18"/>
          <w:szCs w:val="18"/>
          <w:lang w:eastAsia="it-IT"/>
        </w:rPr>
        <w:t>[La valutazione di questo Punto di Attenzione si basa anche sulla valutazione dei corrispondenti Aspetti da considerare dei Punti di Attenzione D.CDS.3.2, D.PHD.2 ed E.DIP.4 dei CdS, dei Corsi di Dottorato di Ricerca e dei Dipartimenti oggetto di visita].</w:t>
      </w:r>
    </w:p>
    <w:tbl>
      <w:tblPr>
        <w:tblStyle w:val="Grigliatabella"/>
        <w:tblW w:w="9639" w:type="dxa"/>
        <w:tblInd w:w="-5" w:type="dxa"/>
        <w:tblLook w:val="04A0" w:firstRow="1" w:lastRow="0" w:firstColumn="1" w:lastColumn="0" w:noHBand="0" w:noVBand="1"/>
      </w:tblPr>
      <w:tblGrid>
        <w:gridCol w:w="9639"/>
      </w:tblGrid>
      <w:tr w:rsidR="00387B60" w:rsidRPr="00387B60" w14:paraId="2D3B846B" w14:textId="77777777" w:rsidTr="0075363B">
        <w:tc>
          <w:tcPr>
            <w:tcW w:w="9639" w:type="dxa"/>
            <w:shd w:val="clear" w:color="auto" w:fill="auto"/>
          </w:tcPr>
          <w:p w14:paraId="36381C76"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21A8A13A"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p w14:paraId="5D3DF70D"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482F54DA" w14:textId="77777777" w:rsidTr="0075363B">
        <w:tc>
          <w:tcPr>
            <w:tcW w:w="9639" w:type="dxa"/>
            <w:shd w:val="clear" w:color="auto" w:fill="auto"/>
          </w:tcPr>
          <w:p w14:paraId="5F53B66A"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2989ED88"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2B6A38E6"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251595C4" w14:textId="1D0EA0BF"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w:t>
            </w:r>
            <w:r w:rsidR="00DC4840">
              <w:rPr>
                <w:rFonts w:asciiTheme="majorHAnsi" w:hAnsiTheme="majorHAnsi" w:cstheme="majorHAnsi"/>
                <w:bCs/>
              </w:rPr>
              <w:t>e</w:t>
            </w:r>
            <w:r w:rsidRPr="00387B60">
              <w:rPr>
                <w:rFonts w:asciiTheme="majorHAnsi" w:hAnsiTheme="majorHAnsi" w:cstheme="majorHAnsi"/>
                <w:bCs/>
              </w:rPr>
              <w:t>scrizione:</w:t>
            </w:r>
          </w:p>
          <w:p w14:paraId="481F3B3F"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7130BED1"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76155D72"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2CAED2A1"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49D339D6"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475EAE4B"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lastRenderedPageBreak/>
              <w:t>Riferimento (capitolo/paragrafo, etc.):</w:t>
            </w:r>
          </w:p>
          <w:p w14:paraId="16514E23"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5AD71B9E" w14:textId="77777777" w:rsidR="00387B60" w:rsidRPr="00387B60" w:rsidRDefault="00387B60" w:rsidP="00387B60">
      <w:pPr>
        <w:spacing w:before="360" w:after="144"/>
        <w:rPr>
          <w:rFonts w:asciiTheme="majorHAnsi" w:eastAsia="Times New Roman" w:hAnsiTheme="majorHAnsi" w:cstheme="majorHAnsi"/>
          <w:b/>
          <w:i/>
          <w:sz w:val="24"/>
          <w:szCs w:val="24"/>
          <w:lang w:eastAsia="it-IT"/>
        </w:rPr>
      </w:pPr>
      <w:r w:rsidRPr="00387B60">
        <w:rPr>
          <w:rFonts w:asciiTheme="majorHAnsi" w:eastAsia="Times New Roman" w:hAnsiTheme="majorHAnsi" w:cstheme="majorHAnsi"/>
          <w:b/>
          <w:bCs/>
          <w:sz w:val="24"/>
          <w:szCs w:val="24"/>
          <w:lang w:eastAsia="it-IT"/>
        </w:rPr>
        <w:lastRenderedPageBreak/>
        <w:t xml:space="preserve">Sotto Ambito </w:t>
      </w:r>
      <w:r w:rsidRPr="00387B60">
        <w:rPr>
          <w:rFonts w:asciiTheme="majorHAnsi" w:eastAsia="Times New Roman" w:hAnsiTheme="majorHAnsi" w:cstheme="majorHAnsi"/>
          <w:b/>
          <w:sz w:val="24"/>
          <w:szCs w:val="24"/>
          <w:lang w:eastAsia="it-IT"/>
        </w:rPr>
        <w:t>B.4 Attrezzature e tecnologie</w:t>
      </w:r>
    </w:p>
    <w:p w14:paraId="094B4FDF" w14:textId="77777777" w:rsidR="00387B60" w:rsidRPr="00387B60" w:rsidRDefault="00387B60" w:rsidP="00387B60">
      <w:pPr>
        <w:keepNext/>
        <w:keepLines/>
        <w:spacing w:before="40" w:after="120"/>
        <w:ind w:firstLine="284"/>
        <w:outlineLvl w:val="2"/>
        <w:rPr>
          <w:rFonts w:asciiTheme="majorHAnsi" w:eastAsiaTheme="majorEastAsia" w:hAnsiTheme="majorHAnsi" w:cstheme="majorHAnsi"/>
          <w:b/>
          <w:iCs/>
          <w:szCs w:val="24"/>
          <w:lang w:eastAsia="it-IT"/>
        </w:rPr>
      </w:pPr>
      <w:bookmarkStart w:id="20" w:name="_Toc169793586"/>
      <w:r w:rsidRPr="00387B60">
        <w:rPr>
          <w:rFonts w:asciiTheme="majorHAnsi" w:eastAsiaTheme="majorEastAsia" w:hAnsiTheme="majorHAnsi" w:cstheme="majorHAnsi"/>
          <w:b/>
          <w:i/>
          <w:iCs/>
          <w:szCs w:val="24"/>
          <w:lang w:eastAsia="it-IT"/>
        </w:rPr>
        <w:t>PdA</w:t>
      </w:r>
      <w:r w:rsidRPr="00387B60">
        <w:rPr>
          <w:rFonts w:asciiTheme="majorHAnsi" w:eastAsiaTheme="majorEastAsia" w:hAnsiTheme="majorHAnsi" w:cstheme="majorHAnsi"/>
          <w:b/>
          <w:iCs/>
          <w:szCs w:val="24"/>
          <w:lang w:eastAsia="it-IT"/>
        </w:rPr>
        <w:t xml:space="preserve"> B.4.1 Pianificazione e gestione delle attrezzature e delle tecnologie</w:t>
      </w:r>
      <w:bookmarkEnd w:id="20"/>
    </w:p>
    <w:p w14:paraId="2943DED4" w14:textId="77777777" w:rsidR="00387B60" w:rsidRPr="00387B60" w:rsidRDefault="00387B60" w:rsidP="00387B60">
      <w:pPr>
        <w:ind w:firstLine="426"/>
        <w:rPr>
          <w:rFonts w:ascii="Calibri" w:eastAsia="Times New Roman" w:hAnsi="Calibri" w:cs="Times New Roman"/>
          <w:b/>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p>
    <w:p w14:paraId="2BC82310" w14:textId="77777777" w:rsidR="00387B60" w:rsidRPr="00387B60" w:rsidRDefault="00387B60" w:rsidP="00387B60">
      <w:pPr>
        <w:numPr>
          <w:ilvl w:val="0"/>
          <w:numId w:val="7"/>
        </w:numPr>
        <w:spacing w:before="120" w:after="120" w:line="276"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B.4.1.1 L’Ateneo definisce e attua, in coerenza con la propria pianificazione strategica, una strategia di gestione e manutenzione delle attrezzature e delle tecnologie a supporto delle proprie missioni e attività istituzionali e gestionali, con particolare attenzione ai sistemi informatici di Ateneo.</w:t>
      </w:r>
    </w:p>
    <w:p w14:paraId="37F5F18F" w14:textId="77777777" w:rsidR="00387B60" w:rsidRPr="00387B60" w:rsidRDefault="00387B60" w:rsidP="00311325">
      <w:pPr>
        <w:spacing w:before="120" w:after="120" w:line="276"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Punto di Attenzione si basa anche sulla valutazione dei corrispondenti Aspetti da considerare dei Punti di Attenzione D.CDS.3.2 e D.PHD.2 dei CdS e dei Dipartimenti oggetto di visita].</w:t>
      </w:r>
    </w:p>
    <w:tbl>
      <w:tblPr>
        <w:tblStyle w:val="Grigliatabella"/>
        <w:tblW w:w="9639" w:type="dxa"/>
        <w:tblInd w:w="-5" w:type="dxa"/>
        <w:tblLook w:val="04A0" w:firstRow="1" w:lastRow="0" w:firstColumn="1" w:lastColumn="0" w:noHBand="0" w:noVBand="1"/>
      </w:tblPr>
      <w:tblGrid>
        <w:gridCol w:w="9639"/>
      </w:tblGrid>
      <w:tr w:rsidR="00387B60" w:rsidRPr="00387B60" w14:paraId="540988D1" w14:textId="77777777" w:rsidTr="0075363B">
        <w:tc>
          <w:tcPr>
            <w:tcW w:w="9639" w:type="dxa"/>
            <w:shd w:val="clear" w:color="auto" w:fill="auto"/>
          </w:tcPr>
          <w:p w14:paraId="7140BF22"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5BF1606E"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p w14:paraId="560D3726"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590BC772" w14:textId="77777777" w:rsidTr="0075363B">
        <w:tc>
          <w:tcPr>
            <w:tcW w:w="9639" w:type="dxa"/>
            <w:shd w:val="clear" w:color="auto" w:fill="auto"/>
          </w:tcPr>
          <w:p w14:paraId="0CD295DE"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05CC1442"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0131DAB5"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70A0041A"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45CA5C0C"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7F3A0E73"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714946AA"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2328CF63"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6FA8C488"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38887EC2"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67739AF0"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33EF4D96" w14:textId="77777777" w:rsidR="00387B60" w:rsidRPr="00387B60" w:rsidRDefault="00387B60" w:rsidP="00387B60">
      <w:pPr>
        <w:keepNext/>
        <w:keepLines/>
        <w:spacing w:before="360" w:after="120"/>
        <w:ind w:firstLine="284"/>
        <w:outlineLvl w:val="2"/>
        <w:rPr>
          <w:rFonts w:asciiTheme="majorHAnsi" w:eastAsiaTheme="majorEastAsia" w:hAnsiTheme="majorHAnsi" w:cstheme="majorHAnsi"/>
          <w:b/>
          <w:iCs/>
          <w:szCs w:val="24"/>
          <w:lang w:eastAsia="it-IT"/>
        </w:rPr>
      </w:pPr>
      <w:bookmarkStart w:id="21" w:name="_Toc169793587"/>
      <w:r w:rsidRPr="00387B60">
        <w:rPr>
          <w:rFonts w:asciiTheme="majorHAnsi" w:eastAsiaTheme="majorEastAsia" w:hAnsiTheme="majorHAnsi" w:cstheme="majorHAnsi"/>
          <w:b/>
          <w:i/>
          <w:iCs/>
          <w:szCs w:val="24"/>
          <w:lang w:eastAsia="it-IT"/>
        </w:rPr>
        <w:t>PdA</w:t>
      </w:r>
      <w:r w:rsidRPr="00387B60">
        <w:rPr>
          <w:rFonts w:asciiTheme="majorHAnsi" w:eastAsiaTheme="majorEastAsia" w:hAnsiTheme="majorHAnsi" w:cstheme="majorHAnsi"/>
          <w:b/>
          <w:iCs/>
          <w:szCs w:val="24"/>
          <w:lang w:eastAsia="it-IT"/>
        </w:rPr>
        <w:t xml:space="preserve"> B.4.2 Adeguatezza delle attrezzature e delle tecnologie</w:t>
      </w:r>
      <w:bookmarkEnd w:id="21"/>
    </w:p>
    <w:p w14:paraId="7E803FEA" w14:textId="77777777" w:rsidR="00387B60" w:rsidRPr="00387B60" w:rsidRDefault="00387B60" w:rsidP="00387B60">
      <w:pPr>
        <w:ind w:firstLine="426"/>
        <w:rPr>
          <w:rFonts w:ascii="Calibri" w:eastAsia="Times New Roman" w:hAnsi="Calibri" w:cs="Times New Roman"/>
          <w:b/>
          <w:lang w:eastAsia="it-IT"/>
        </w:rPr>
      </w:pPr>
      <w:r w:rsidRPr="00387B60">
        <w:rPr>
          <w:rFonts w:ascii="Calibri" w:eastAsia="Times New Roman" w:hAnsi="Calibri" w:cs="Times New Roman"/>
          <w:b/>
          <w:i/>
          <w:sz w:val="20"/>
          <w:szCs w:val="20"/>
          <w:lang w:eastAsia="it-IT"/>
        </w:rPr>
        <w:t xml:space="preserve">AdC </w:t>
      </w:r>
      <w:r w:rsidRPr="00387B60">
        <w:rPr>
          <w:rFonts w:ascii="Calibri" w:eastAsia="Times New Roman" w:hAnsi="Calibri" w:cs="Times New Roman"/>
          <w:b/>
          <w:sz w:val="20"/>
          <w:szCs w:val="20"/>
          <w:lang w:eastAsia="it-IT"/>
        </w:rPr>
        <w:t>che vanno affrontati nell’Autovalutazione:</w:t>
      </w:r>
    </w:p>
    <w:p w14:paraId="1920FEB4" w14:textId="77777777" w:rsidR="00387B60" w:rsidRPr="00387B60" w:rsidRDefault="00387B60" w:rsidP="00387B60">
      <w:pPr>
        <w:numPr>
          <w:ilvl w:val="0"/>
          <w:numId w:val="7"/>
        </w:numPr>
        <w:spacing w:after="120" w:line="276" w:lineRule="auto"/>
        <w:contextualSpacing/>
        <w:jc w:val="both"/>
        <w:rPr>
          <w:rFonts w:asciiTheme="majorHAnsi" w:eastAsia="Times New Roman" w:hAnsiTheme="majorHAnsi" w:cstheme="majorHAnsi"/>
          <w:i/>
          <w:iCs/>
          <w:sz w:val="20"/>
          <w:szCs w:val="20"/>
          <w:lang w:eastAsia="it-IT"/>
        </w:rPr>
      </w:pPr>
      <w:r w:rsidRPr="00387B60">
        <w:rPr>
          <w:rFonts w:asciiTheme="majorHAnsi" w:eastAsia="Times New Roman" w:hAnsiTheme="majorHAnsi" w:cstheme="majorHAnsi"/>
          <w:i/>
          <w:iCs/>
          <w:sz w:val="20"/>
          <w:szCs w:val="20"/>
          <w:lang w:eastAsia="it-IT"/>
        </w:rPr>
        <w:t>B.4.2.1 L’Ateneo dispone e verifica sistematicamente che le attrezzature e le tecnologie delle Scuole/Facoltà e dei Dipartimenti (o strutture assimilate) siano adeguate allo svolgimento delle attività didattiche, di ricerca e di terza missione/impatto sociale facilmente fruibili da docenti e studenti, ivi comprese le persone con disabilità, con disturbi specifici dell’apprendimento (DSA) e con bisogni educativi speciali (BES).</w:t>
      </w:r>
    </w:p>
    <w:p w14:paraId="21D7FB43" w14:textId="77777777" w:rsidR="00387B60" w:rsidRPr="00387B60" w:rsidRDefault="00387B60" w:rsidP="00311325">
      <w:pPr>
        <w:spacing w:after="120" w:line="276" w:lineRule="auto"/>
        <w:ind w:left="720"/>
        <w:contextualSpacing/>
        <w:jc w:val="both"/>
        <w:rPr>
          <w:rFonts w:asciiTheme="majorHAnsi" w:eastAsia="Times New Roman" w:hAnsiTheme="majorHAnsi" w:cstheme="majorHAnsi"/>
          <w:b/>
          <w:bCs/>
          <w:i/>
          <w:iCs/>
          <w:sz w:val="18"/>
          <w:szCs w:val="18"/>
          <w:lang w:eastAsia="it-IT"/>
        </w:rPr>
      </w:pPr>
      <w:r w:rsidRPr="00387B60">
        <w:rPr>
          <w:rFonts w:asciiTheme="majorHAnsi" w:eastAsia="Times New Roman" w:hAnsiTheme="majorHAnsi" w:cstheme="majorHAnsi"/>
          <w:i/>
          <w:iCs/>
          <w:sz w:val="20"/>
          <w:szCs w:val="20"/>
          <w:lang w:eastAsia="it-IT"/>
        </w:rPr>
        <w:t>[La valutazione di questo Punto di Attenzione si basa anche sulla valutazione dei corrispondenti Aspetti da considerare dei Punti di Attenzione D.CDS.3.2, D.PHD.2 ed E.DIP.4 dei CdS, dei Dottorati di Ricerca e dei Dipartimenti oggetto di visita].</w:t>
      </w:r>
    </w:p>
    <w:tbl>
      <w:tblPr>
        <w:tblStyle w:val="Grigliatabella"/>
        <w:tblW w:w="9639" w:type="dxa"/>
        <w:tblInd w:w="-5" w:type="dxa"/>
        <w:tblLook w:val="04A0" w:firstRow="1" w:lastRow="0" w:firstColumn="1" w:lastColumn="0" w:noHBand="0" w:noVBand="1"/>
      </w:tblPr>
      <w:tblGrid>
        <w:gridCol w:w="9639"/>
      </w:tblGrid>
      <w:tr w:rsidR="00387B60" w:rsidRPr="00387B60" w14:paraId="257A0124" w14:textId="77777777" w:rsidTr="0075363B">
        <w:tc>
          <w:tcPr>
            <w:tcW w:w="9639" w:type="dxa"/>
            <w:shd w:val="clear" w:color="auto" w:fill="auto"/>
          </w:tcPr>
          <w:p w14:paraId="75CEF1D5"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1F2076EF"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p w14:paraId="3B7F80B9"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lastRenderedPageBreak/>
              <w:t>…</w:t>
            </w:r>
          </w:p>
        </w:tc>
      </w:tr>
      <w:tr w:rsidR="00387B60" w:rsidRPr="00387B60" w14:paraId="4DC777CA" w14:textId="77777777" w:rsidTr="0075363B">
        <w:tc>
          <w:tcPr>
            <w:tcW w:w="9639" w:type="dxa"/>
            <w:shd w:val="clear" w:color="auto" w:fill="auto"/>
          </w:tcPr>
          <w:p w14:paraId="548A83F0"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lastRenderedPageBreak/>
              <w:t>Fonti documentali indicate dall'Ateneo per l'esame a distanza (non più di 16 documenti):</w:t>
            </w:r>
          </w:p>
          <w:p w14:paraId="60F4816D"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1F161A60"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2DFE9E4E"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1C0BF07A"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11153F81"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773200C4"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5454554A"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4258DBEA"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65F9664A"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2BD60D42"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784B5FEA" w14:textId="77777777" w:rsidR="00387B60" w:rsidRPr="00387B60" w:rsidRDefault="00387B60" w:rsidP="00387B60">
      <w:pPr>
        <w:keepNext/>
        <w:keepLines/>
        <w:spacing w:before="360" w:after="120"/>
        <w:ind w:firstLine="284"/>
        <w:outlineLvl w:val="2"/>
        <w:rPr>
          <w:rFonts w:asciiTheme="majorHAnsi" w:eastAsiaTheme="majorEastAsia" w:hAnsiTheme="majorHAnsi" w:cstheme="majorHAnsi"/>
          <w:b/>
          <w:szCs w:val="24"/>
          <w:lang w:eastAsia="it-IT"/>
        </w:rPr>
      </w:pPr>
      <w:bookmarkStart w:id="22" w:name="_Toc169793588"/>
      <w:r w:rsidRPr="00387B60">
        <w:rPr>
          <w:rFonts w:asciiTheme="majorHAnsi" w:eastAsiaTheme="majorEastAsia" w:hAnsiTheme="majorHAnsi" w:cstheme="majorHAnsi"/>
          <w:b/>
          <w:i/>
          <w:iCs/>
          <w:szCs w:val="24"/>
          <w:lang w:eastAsia="it-IT"/>
        </w:rPr>
        <w:t>PdA</w:t>
      </w:r>
      <w:r w:rsidRPr="00387B60">
        <w:rPr>
          <w:rFonts w:asciiTheme="majorHAnsi" w:eastAsiaTheme="majorEastAsia" w:hAnsiTheme="majorHAnsi" w:cstheme="majorHAnsi"/>
          <w:b/>
          <w:iCs/>
          <w:szCs w:val="24"/>
          <w:lang w:eastAsia="it-IT"/>
        </w:rPr>
        <w:t xml:space="preserve"> B.4.3 </w:t>
      </w:r>
      <w:r w:rsidRPr="00387B60">
        <w:rPr>
          <w:rFonts w:asciiTheme="majorHAnsi" w:eastAsiaTheme="majorEastAsia" w:hAnsiTheme="majorHAnsi" w:cstheme="majorHAnsi"/>
          <w:b/>
          <w:szCs w:val="24"/>
          <w:lang w:eastAsia="it-IT"/>
        </w:rPr>
        <w:t>Infrastrutture e servizi di supporto alla didattica integralmente o prevalentemente a distanza</w:t>
      </w:r>
      <w:bookmarkEnd w:id="22"/>
    </w:p>
    <w:p w14:paraId="7EAB848C" w14:textId="77777777" w:rsidR="00387B60" w:rsidRPr="00387B60" w:rsidRDefault="00387B60" w:rsidP="00387B60">
      <w:pPr>
        <w:ind w:firstLine="426"/>
        <w:rPr>
          <w:rFonts w:ascii="Calibri" w:eastAsia="Times New Roman" w:hAnsi="Calibri" w:cs="Times New Roman"/>
          <w:b/>
          <w:sz w:val="20"/>
          <w:szCs w:val="20"/>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p>
    <w:p w14:paraId="1508E879"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B.4.3.1 L’Ateneo che offre Corsi di Studio integralmente o prevalentemente a distanza ha attivato infrastrutture e servizi di supporto alla didattica a distanza finalizzati alla progettazione, programmazione ed erogazione della didattica a distanza adeguatamente dimensionati per competenze e per numero di addetti.</w:t>
      </w:r>
    </w:p>
    <w:p w14:paraId="11CB15F1"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B.4.3.2 Le infrastrutture tecnologiche adottate per la didattica a distanza sono adeguate, efficaci e facilmente utilizzabili dagli utenti e sono adeguatamente descritte le modalità di accesso per gli utenti, inclusi quelli con disabilità e con disturbi specifici di apprendimento (DSA) e con bisogni educativi speciali (BES).</w:t>
      </w:r>
    </w:p>
    <w:p w14:paraId="371589EE"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B.4.3.3 L’Ateneo assicura agli studenti l’adozione di un’identità digitale univoca per l’accesso alle infrastrutture.</w:t>
      </w:r>
    </w:p>
    <w:p w14:paraId="50593EF6"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B.4.3.4 L’Ateneo ha esplicitato e motivato la possibilità di utilizzare soluzioni di “presenza certificata” per la partecipazione alle attività formative e di valutazione, specificandone le modalità e garantendone l’efficacia.</w:t>
      </w:r>
    </w:p>
    <w:p w14:paraId="0AD1327F"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B.4.3.5 L’Ateneo garantisce agli studenti l’accesso per almeno 3 anni ai contenuti e alle attività formative della coorte di afferenza.</w:t>
      </w:r>
    </w:p>
    <w:p w14:paraId="168ADE6C" w14:textId="77777777" w:rsidR="00387B60" w:rsidRPr="00387B60" w:rsidRDefault="00387B60" w:rsidP="00387B60">
      <w:pPr>
        <w:numPr>
          <w:ilvl w:val="0"/>
          <w:numId w:val="7"/>
        </w:numPr>
        <w:spacing w:after="120" w:line="240" w:lineRule="auto"/>
        <w:ind w:left="714" w:hanging="357"/>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B.4.3.6 Le strutture e i servizi di supporto alla didattica a distanza sono adeguati e coerenti con le scelte didattiche esplicitate nella Carta dei Servizi e tengono in considerazione gli studenti con disabilità e con disturbi specifici di apprendimento (DSA) e con bisogni educativi speciali (BES).</w:t>
      </w:r>
    </w:p>
    <w:tbl>
      <w:tblPr>
        <w:tblStyle w:val="Grigliatabella"/>
        <w:tblW w:w="9639" w:type="dxa"/>
        <w:tblInd w:w="-5" w:type="dxa"/>
        <w:tblLook w:val="04A0" w:firstRow="1" w:lastRow="0" w:firstColumn="1" w:lastColumn="0" w:noHBand="0" w:noVBand="1"/>
      </w:tblPr>
      <w:tblGrid>
        <w:gridCol w:w="9639"/>
      </w:tblGrid>
      <w:tr w:rsidR="00387B60" w:rsidRPr="00387B60" w14:paraId="27EB2B74" w14:textId="77777777" w:rsidTr="0075363B">
        <w:tc>
          <w:tcPr>
            <w:tcW w:w="9639" w:type="dxa"/>
            <w:shd w:val="clear" w:color="auto" w:fill="auto"/>
          </w:tcPr>
          <w:p w14:paraId="6883961F"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1B2308A4"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p w14:paraId="2A0F4C34"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093DFC4C" w14:textId="77777777" w:rsidTr="0075363B">
        <w:tc>
          <w:tcPr>
            <w:tcW w:w="9639" w:type="dxa"/>
            <w:shd w:val="clear" w:color="auto" w:fill="auto"/>
          </w:tcPr>
          <w:p w14:paraId="03EEBC57"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78BBF5BF"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5DCF9DAA"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00E07793"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3E57FCB2"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50861EA4"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4452670C"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28481FA9"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71F36A3D"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lastRenderedPageBreak/>
              <w:t>Breve Descrizione:</w:t>
            </w:r>
          </w:p>
          <w:p w14:paraId="223F89D1"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7A96E0E0"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2A049A18" w14:textId="77777777" w:rsidR="00387B60" w:rsidRPr="00387B60" w:rsidRDefault="00387B60" w:rsidP="00387B60">
      <w:pPr>
        <w:keepNext/>
        <w:keepLines/>
        <w:spacing w:before="360" w:after="120"/>
        <w:outlineLvl w:val="1"/>
        <w:rPr>
          <w:rFonts w:asciiTheme="majorHAnsi" w:eastAsiaTheme="majorEastAsia" w:hAnsiTheme="majorHAnsi" w:cstheme="majorHAnsi"/>
          <w:b/>
          <w:iCs/>
          <w:sz w:val="24"/>
          <w:szCs w:val="24"/>
          <w:lang w:eastAsia="it-IT"/>
        </w:rPr>
      </w:pPr>
      <w:bookmarkStart w:id="23" w:name="_Toc169793589"/>
      <w:r w:rsidRPr="00387B60">
        <w:rPr>
          <w:rFonts w:asciiTheme="majorHAnsi" w:eastAsia="Times New Roman" w:hAnsiTheme="majorHAnsi" w:cstheme="majorHAnsi"/>
          <w:b/>
          <w:iCs/>
          <w:sz w:val="24"/>
          <w:szCs w:val="24"/>
          <w:lang w:eastAsia="it-IT"/>
        </w:rPr>
        <w:lastRenderedPageBreak/>
        <w:t xml:space="preserve">Sotto Ambito </w:t>
      </w:r>
      <w:r w:rsidRPr="00387B60">
        <w:rPr>
          <w:rFonts w:asciiTheme="majorHAnsi" w:eastAsiaTheme="majorEastAsia" w:hAnsiTheme="majorHAnsi" w:cstheme="majorHAnsi"/>
          <w:b/>
          <w:iCs/>
          <w:sz w:val="24"/>
          <w:szCs w:val="24"/>
          <w:lang w:eastAsia="it-IT"/>
        </w:rPr>
        <w:t>B.5 Gestione delle informazioni e della conoscenza</w:t>
      </w:r>
      <w:bookmarkEnd w:id="23"/>
    </w:p>
    <w:p w14:paraId="0D986430" w14:textId="77777777" w:rsidR="00387B60" w:rsidRPr="00387B60" w:rsidRDefault="00387B60" w:rsidP="00387B60">
      <w:pPr>
        <w:keepNext/>
        <w:keepLines/>
        <w:spacing w:before="40" w:after="120"/>
        <w:ind w:firstLine="284"/>
        <w:outlineLvl w:val="2"/>
        <w:rPr>
          <w:rFonts w:asciiTheme="majorHAnsi" w:eastAsiaTheme="majorEastAsia" w:hAnsiTheme="majorHAnsi" w:cstheme="majorHAnsi"/>
          <w:b/>
          <w:szCs w:val="24"/>
          <w:lang w:eastAsia="it-IT"/>
        </w:rPr>
      </w:pPr>
      <w:bookmarkStart w:id="24" w:name="_Toc169793590"/>
      <w:r w:rsidRPr="00387B60">
        <w:rPr>
          <w:rFonts w:asciiTheme="majorHAnsi" w:eastAsiaTheme="majorEastAsia" w:hAnsiTheme="majorHAnsi" w:cstheme="majorHAnsi"/>
          <w:b/>
          <w:i/>
          <w:szCs w:val="24"/>
          <w:lang w:eastAsia="it-IT"/>
        </w:rPr>
        <w:t>PdA</w:t>
      </w:r>
      <w:r w:rsidRPr="00387B60">
        <w:rPr>
          <w:rFonts w:asciiTheme="majorHAnsi" w:eastAsiaTheme="majorEastAsia" w:hAnsiTheme="majorHAnsi" w:cstheme="majorHAnsi"/>
          <w:b/>
          <w:szCs w:val="24"/>
          <w:lang w:eastAsia="it-IT"/>
        </w:rPr>
        <w:t xml:space="preserve"> B.5.1 Gestione delle informazioni e della conoscenza</w:t>
      </w:r>
      <w:bookmarkEnd w:id="24"/>
    </w:p>
    <w:p w14:paraId="2A483445" w14:textId="77777777" w:rsidR="00387B60" w:rsidRPr="00387B60" w:rsidRDefault="00387B60" w:rsidP="00387B60">
      <w:pPr>
        <w:ind w:firstLine="284"/>
        <w:rPr>
          <w:rFonts w:ascii="Calibri" w:eastAsia="Times New Roman" w:hAnsi="Calibri" w:cs="Times New Roman"/>
          <w:sz w:val="20"/>
          <w:szCs w:val="20"/>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p>
    <w:p w14:paraId="2F0A02B3"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B.5.1.1 L’Ateneo dispone di uno o più sistemi informativi integrati per l’acquisizione, la validazione, l’elaborazione, l’archiviazione, l’utilizzo e la condivisione di dati, informazioni e conoscenze di origine interna ed esterna, assicurandone la correttezza, l’affidabilità, la sicurezza, la protezione e la rilevanza ai fini della pianificazione strategica, della gestione operativa, dell’Assicurazione della Qualità e del raggiungimento degli obiettivi.</w:t>
      </w:r>
    </w:p>
    <w:p w14:paraId="2E165961"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B.5.1.2 L’Ateneo garantisce la sicurezza, la protezione e la valorizzazione delle conoscenze sviluppate al proprio interno e della proprietà intellettuale dell’organizzazione (brevetti, marchi, copyright, etc.).</w:t>
      </w:r>
    </w:p>
    <w:p w14:paraId="2A6FBB9A" w14:textId="77777777" w:rsidR="00387B60" w:rsidRPr="00387B60" w:rsidRDefault="00387B60" w:rsidP="00387B60">
      <w:pPr>
        <w:numPr>
          <w:ilvl w:val="0"/>
          <w:numId w:val="7"/>
        </w:numPr>
        <w:spacing w:after="120" w:line="240" w:lineRule="auto"/>
        <w:ind w:left="714" w:hanging="357"/>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B.5.1.3 L’Ateneo utilizza strumenti di comunicazione specifici per le attività di trasferimento della conoscenza al servizio della collettività e del sistema produttivo del territorio di riferimento, promuove e svolge attività di disseminazione dei risultati della ricerca presso la collettività.</w:t>
      </w:r>
    </w:p>
    <w:tbl>
      <w:tblPr>
        <w:tblStyle w:val="Grigliatabella"/>
        <w:tblW w:w="9639" w:type="dxa"/>
        <w:tblInd w:w="-5" w:type="dxa"/>
        <w:tblLook w:val="04A0" w:firstRow="1" w:lastRow="0" w:firstColumn="1" w:lastColumn="0" w:noHBand="0" w:noVBand="1"/>
      </w:tblPr>
      <w:tblGrid>
        <w:gridCol w:w="9639"/>
      </w:tblGrid>
      <w:tr w:rsidR="00387B60" w:rsidRPr="00387B60" w14:paraId="5CA12D5E" w14:textId="77777777" w:rsidTr="0075363B">
        <w:tc>
          <w:tcPr>
            <w:tcW w:w="9639" w:type="dxa"/>
            <w:shd w:val="clear" w:color="auto" w:fill="auto"/>
          </w:tcPr>
          <w:p w14:paraId="1B7CC2DD"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1C4C4971"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p w14:paraId="35AA2D86"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1025A16A" w14:textId="77777777" w:rsidTr="0075363B">
        <w:tc>
          <w:tcPr>
            <w:tcW w:w="9639" w:type="dxa"/>
            <w:shd w:val="clear" w:color="auto" w:fill="auto"/>
          </w:tcPr>
          <w:p w14:paraId="2E565820"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417F8975"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54C9326E"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45A09980"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3D2DA0C9"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1A7E1E55"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735E5826"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0568AFA1"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1C2676DA"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0AAA47FD"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419870A1"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0EAE1995" w14:textId="77777777" w:rsidR="00387B60" w:rsidRPr="00387B60" w:rsidRDefault="00387B60" w:rsidP="00387B60">
      <w:pPr>
        <w:rPr>
          <w:rFonts w:asciiTheme="majorHAnsi" w:eastAsiaTheme="majorEastAsia" w:hAnsiTheme="majorHAnsi" w:cstheme="majorHAnsi"/>
          <w:b/>
          <w:bCs/>
          <w:sz w:val="24"/>
          <w:szCs w:val="24"/>
          <w:lang w:eastAsia="it-IT"/>
        </w:rPr>
      </w:pPr>
      <w:r w:rsidRPr="00387B60">
        <w:rPr>
          <w:rFonts w:ascii="Calibri" w:eastAsia="Times New Roman" w:hAnsi="Calibri" w:cstheme="majorHAnsi"/>
          <w:b/>
          <w:bCs/>
          <w:sz w:val="24"/>
          <w:szCs w:val="24"/>
          <w:lang w:eastAsia="it-IT"/>
        </w:rPr>
        <w:br w:type="page"/>
      </w:r>
    </w:p>
    <w:p w14:paraId="481813D6" w14:textId="77777777" w:rsidR="00387B60" w:rsidRPr="00387B60" w:rsidRDefault="00387B60" w:rsidP="00387B60">
      <w:pPr>
        <w:keepNext/>
        <w:keepLines/>
        <w:spacing w:before="240" w:after="0"/>
        <w:outlineLvl w:val="0"/>
        <w:rPr>
          <w:rFonts w:asciiTheme="majorHAnsi" w:eastAsiaTheme="majorEastAsia" w:hAnsiTheme="majorHAnsi" w:cstheme="majorHAnsi"/>
          <w:b/>
          <w:bCs/>
          <w:sz w:val="24"/>
          <w:szCs w:val="24"/>
          <w:lang w:eastAsia="it-IT"/>
        </w:rPr>
      </w:pPr>
      <w:bookmarkStart w:id="25" w:name="_Toc169793591"/>
      <w:r w:rsidRPr="00387B60">
        <w:rPr>
          <w:rFonts w:asciiTheme="majorHAnsi" w:eastAsiaTheme="majorEastAsia" w:hAnsiTheme="majorHAnsi" w:cstheme="majorHAnsi"/>
          <w:b/>
          <w:bCs/>
          <w:sz w:val="24"/>
          <w:szCs w:val="24"/>
          <w:lang w:eastAsia="it-IT"/>
        </w:rPr>
        <w:lastRenderedPageBreak/>
        <w:t>Ambito C – Assicurazione della Qualità</w:t>
      </w:r>
      <w:bookmarkEnd w:id="25"/>
    </w:p>
    <w:p w14:paraId="5EBDE71C" w14:textId="77777777" w:rsidR="00387B60" w:rsidRPr="00387B60" w:rsidRDefault="00387B60" w:rsidP="00387B60">
      <w:pPr>
        <w:jc w:val="both"/>
        <w:rPr>
          <w:rFonts w:asciiTheme="majorHAnsi" w:eastAsia="Times New Roman" w:hAnsiTheme="majorHAnsi" w:cstheme="majorHAnsi"/>
          <w:lang w:eastAsia="it-IT"/>
        </w:rPr>
      </w:pPr>
      <w:r w:rsidRPr="00387B60">
        <w:rPr>
          <w:rFonts w:asciiTheme="majorHAnsi" w:eastAsia="Times New Roman" w:hAnsiTheme="majorHAnsi" w:cstheme="majorHAnsi"/>
          <w:lang w:eastAsia="it-IT"/>
        </w:rPr>
        <w:t>In questo ambito si valutano i processi di Assicurazione della Qualità, in particolare la capacità dell’Ateneo di dotarsi di un sistema di autovalutazione dei Corsi di Studio e dei dipartimenti, attraverso attività di monitoraggio e riesame dei processi e dei risultati della didattica, della ricerca e della terza missione. Il sistema di Assicurazione della Qualità deve prevedere una attività di monitoraggio sulla sua efficacia che coinvolga tutti gli organi e le funzioni interessate, ai diversi livelli di responsabilità, e che prenda in esame le considerazioni critiche espresse dal NUV al quale, nell’ambito delle sue funzioni istituzionali, è demandata la valutazione del sistema e dei processi di AQ della didattica, della ricerca e della terza missione.</w:t>
      </w:r>
    </w:p>
    <w:p w14:paraId="36580C5E" w14:textId="77777777" w:rsidR="00387B60" w:rsidRPr="00387B60" w:rsidRDefault="00387B60" w:rsidP="00387B60">
      <w:pPr>
        <w:keepNext/>
        <w:keepLines/>
        <w:spacing w:before="40" w:after="120"/>
        <w:ind w:firstLine="284"/>
        <w:outlineLvl w:val="2"/>
        <w:rPr>
          <w:rFonts w:asciiTheme="majorHAnsi" w:eastAsiaTheme="majorEastAsia" w:hAnsiTheme="majorHAnsi" w:cstheme="majorHAnsi"/>
          <w:b/>
          <w:szCs w:val="24"/>
          <w:lang w:eastAsia="it-IT"/>
        </w:rPr>
      </w:pPr>
      <w:bookmarkStart w:id="26" w:name="_Toc169793592"/>
      <w:r w:rsidRPr="00387B60">
        <w:rPr>
          <w:rFonts w:asciiTheme="majorHAnsi" w:eastAsiaTheme="majorEastAsia" w:hAnsiTheme="majorHAnsi" w:cstheme="majorHAnsi"/>
          <w:b/>
          <w:i/>
          <w:szCs w:val="24"/>
          <w:lang w:eastAsia="it-IT"/>
        </w:rPr>
        <w:t>PdA</w:t>
      </w:r>
      <w:r w:rsidRPr="00387B60">
        <w:rPr>
          <w:rFonts w:asciiTheme="majorHAnsi" w:eastAsiaTheme="majorEastAsia" w:hAnsiTheme="majorHAnsi" w:cstheme="majorHAnsi"/>
          <w:b/>
          <w:szCs w:val="24"/>
          <w:lang w:eastAsia="it-IT"/>
        </w:rPr>
        <w:t xml:space="preserve"> C.1 Autovalutazione, valutazione e riesame dei CdS, dei Dottorati di Ricerca e dei Dipartimenti con il supporto del Presidio della Qualità</w:t>
      </w:r>
      <w:bookmarkEnd w:id="26"/>
    </w:p>
    <w:p w14:paraId="6ADF3AE7" w14:textId="77777777" w:rsidR="00387B60" w:rsidRPr="00387B60" w:rsidRDefault="00387B60" w:rsidP="00387B60">
      <w:pPr>
        <w:ind w:firstLine="284"/>
        <w:rPr>
          <w:rFonts w:ascii="Calibri" w:eastAsia="Times New Roman" w:hAnsi="Calibri" w:cs="Times New Roman"/>
          <w:b/>
          <w:sz w:val="20"/>
          <w:szCs w:val="20"/>
          <w:lang w:eastAsia="it-IT"/>
        </w:rPr>
      </w:pPr>
      <w:r w:rsidRPr="00387B60">
        <w:rPr>
          <w:rFonts w:ascii="Calibri" w:eastAsia="Times New Roman" w:hAnsi="Calibri" w:cs="Times New Roman"/>
          <w:b/>
          <w:i/>
          <w:sz w:val="20"/>
          <w:szCs w:val="20"/>
          <w:lang w:eastAsia="it-IT"/>
        </w:rPr>
        <w:t xml:space="preserve">AdC </w:t>
      </w:r>
      <w:r w:rsidRPr="00387B60">
        <w:rPr>
          <w:rFonts w:ascii="Calibri" w:eastAsia="Times New Roman" w:hAnsi="Calibri" w:cs="Times New Roman"/>
          <w:b/>
          <w:sz w:val="20"/>
          <w:szCs w:val="20"/>
          <w:lang w:eastAsia="it-IT"/>
        </w:rPr>
        <w:t>che vanno affrontati nell’Autovalutazione:</w:t>
      </w:r>
    </w:p>
    <w:p w14:paraId="10E39812" w14:textId="77777777" w:rsidR="00387B60" w:rsidRPr="00387B60" w:rsidRDefault="00387B60" w:rsidP="00387B60">
      <w:pPr>
        <w:numPr>
          <w:ilvl w:val="0"/>
          <w:numId w:val="7"/>
        </w:numPr>
        <w:contextualSpacing/>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C.1.1 L’Ateneo assicura il riesame periodico delle attività dei CdS, dei Dottorati di Ricerca e dei Dipartimenti attraverso strumenti di analisi e valutazione predisposti dal Presidio della Qualità.</w:t>
      </w:r>
    </w:p>
    <w:p w14:paraId="064DB09A"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C.1.2 L'Ateneo assicura il coinvolgimento del personale docente e tecnico-amministrativo e degli studenti/dottorandi nei processi di autovalutazione e valutazione, assicurando loro l’accesso ai dati e alle informazioni utili con il necessario livello di dettaglio.</w:t>
      </w:r>
    </w:p>
    <w:p w14:paraId="6D7CB10D"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C.1.3 Il Presidio della Qualità predispone linee guida e documentazione a supporto dei processi di autovalutazione, valutazione e riesame dei CdS, dei Dottorati di Ricerca, dei Dipartimenti e delle CPDS, assicurando un adeguato supporto metodologico e operativo.</w:t>
      </w:r>
    </w:p>
    <w:p w14:paraId="63A126E6" w14:textId="77777777" w:rsidR="00387B60" w:rsidRPr="00387B60" w:rsidRDefault="00387B60" w:rsidP="00387B60">
      <w:pPr>
        <w:numPr>
          <w:ilvl w:val="0"/>
          <w:numId w:val="7"/>
        </w:numPr>
        <w:spacing w:after="120" w:line="240" w:lineRule="auto"/>
        <w:ind w:left="714" w:hanging="357"/>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C.1.4</w:t>
      </w:r>
      <w:r w:rsidRPr="00387B60">
        <w:rPr>
          <w:rFonts w:asciiTheme="majorHAnsi" w:eastAsia="Times New Roman" w:hAnsiTheme="majorHAnsi" w:cstheme="majorHAnsi"/>
          <w:sz w:val="20"/>
          <w:szCs w:val="20"/>
          <w:lang w:eastAsia="it-IT"/>
        </w:rPr>
        <w:t xml:space="preserve"> </w:t>
      </w:r>
      <w:r w:rsidRPr="00387B60">
        <w:rPr>
          <w:rFonts w:asciiTheme="majorHAnsi" w:eastAsia="Times New Roman" w:hAnsiTheme="majorHAnsi" w:cstheme="majorHAnsi"/>
          <w:i/>
          <w:sz w:val="20"/>
          <w:szCs w:val="20"/>
          <w:lang w:eastAsia="it-IT"/>
        </w:rPr>
        <w:t>Il Presidio della Qualità diffonde e promuove la cultura della qualità e svolge attività di formazione a supporto dei CdS, dei Dottorati di Ricerca, dei Dipartimenti, delle CPDS e delle Facoltà/Scuole e di eventuali altre strutture che operano nell’ambito dell’Assicurazione della Qualità.</w:t>
      </w:r>
    </w:p>
    <w:tbl>
      <w:tblPr>
        <w:tblStyle w:val="Grigliatabella"/>
        <w:tblW w:w="9781" w:type="dxa"/>
        <w:tblInd w:w="-5" w:type="dxa"/>
        <w:tblLook w:val="04A0" w:firstRow="1" w:lastRow="0" w:firstColumn="1" w:lastColumn="0" w:noHBand="0" w:noVBand="1"/>
      </w:tblPr>
      <w:tblGrid>
        <w:gridCol w:w="9781"/>
      </w:tblGrid>
      <w:tr w:rsidR="00387B60" w:rsidRPr="00387B60" w14:paraId="61452D25" w14:textId="77777777" w:rsidTr="0075363B">
        <w:tc>
          <w:tcPr>
            <w:tcW w:w="9781" w:type="dxa"/>
            <w:shd w:val="clear" w:color="auto" w:fill="auto"/>
          </w:tcPr>
          <w:p w14:paraId="385E240A"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0E996F59"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p w14:paraId="2F516966"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0A6F243E" w14:textId="77777777" w:rsidTr="0075363B">
        <w:tc>
          <w:tcPr>
            <w:tcW w:w="9781" w:type="dxa"/>
            <w:shd w:val="clear" w:color="auto" w:fill="auto"/>
          </w:tcPr>
          <w:p w14:paraId="35E1BC09"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2FF765B6"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4105B2AF"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12A4CCED"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57566268"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280A2678"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287298A5"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4F56BD9E"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4DB541C5"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3DA90792"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18944030"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64CE17D7" w14:textId="77777777" w:rsidR="00387B60" w:rsidRPr="00387B60" w:rsidRDefault="00387B60" w:rsidP="00387B60">
      <w:pPr>
        <w:keepNext/>
        <w:keepLines/>
        <w:spacing w:before="360" w:after="120"/>
        <w:ind w:firstLine="284"/>
        <w:outlineLvl w:val="2"/>
        <w:rPr>
          <w:rFonts w:asciiTheme="majorHAnsi" w:eastAsiaTheme="majorEastAsia" w:hAnsiTheme="majorHAnsi" w:cstheme="majorHAnsi"/>
          <w:b/>
          <w:i/>
          <w:szCs w:val="24"/>
          <w:lang w:eastAsia="it-IT"/>
        </w:rPr>
      </w:pPr>
      <w:bookmarkStart w:id="27" w:name="_Toc169793593"/>
    </w:p>
    <w:p w14:paraId="02DFAB16" w14:textId="77777777" w:rsidR="00403CFB" w:rsidRDefault="00403CFB" w:rsidP="00403CFB">
      <w:pPr>
        <w:keepNext/>
        <w:keepLines/>
        <w:spacing w:before="360" w:after="120"/>
        <w:outlineLvl w:val="2"/>
        <w:rPr>
          <w:rFonts w:asciiTheme="majorHAnsi" w:eastAsiaTheme="majorEastAsia" w:hAnsiTheme="majorHAnsi" w:cstheme="majorHAnsi"/>
          <w:b/>
          <w:i/>
          <w:szCs w:val="24"/>
          <w:lang w:eastAsia="it-IT"/>
        </w:rPr>
      </w:pPr>
    </w:p>
    <w:p w14:paraId="51759195" w14:textId="2491A7D0" w:rsidR="00387B60" w:rsidRPr="00387B60" w:rsidRDefault="00387B60" w:rsidP="00403CFB">
      <w:pPr>
        <w:keepNext/>
        <w:keepLines/>
        <w:spacing w:before="360" w:after="120"/>
        <w:outlineLvl w:val="2"/>
        <w:rPr>
          <w:rFonts w:asciiTheme="majorHAnsi" w:eastAsiaTheme="majorEastAsia" w:hAnsiTheme="majorHAnsi" w:cstheme="majorHAnsi"/>
          <w:b/>
          <w:szCs w:val="24"/>
          <w:lang w:eastAsia="it-IT"/>
        </w:rPr>
      </w:pPr>
      <w:bookmarkStart w:id="28" w:name="_GoBack"/>
      <w:bookmarkEnd w:id="28"/>
      <w:r w:rsidRPr="00387B60">
        <w:rPr>
          <w:rFonts w:asciiTheme="majorHAnsi" w:eastAsiaTheme="majorEastAsia" w:hAnsiTheme="majorHAnsi" w:cstheme="majorHAnsi"/>
          <w:b/>
          <w:i/>
          <w:szCs w:val="24"/>
          <w:lang w:eastAsia="it-IT"/>
        </w:rPr>
        <w:t>PdA</w:t>
      </w:r>
      <w:r w:rsidRPr="00387B60">
        <w:rPr>
          <w:rFonts w:asciiTheme="majorHAnsi" w:eastAsiaTheme="majorEastAsia" w:hAnsiTheme="majorHAnsi" w:cstheme="majorHAnsi"/>
          <w:b/>
          <w:szCs w:val="24"/>
          <w:lang w:eastAsia="it-IT"/>
        </w:rPr>
        <w:t xml:space="preserve"> C.2 Monitoraggio del sistema di Assicurazione della Qualità di Ateneo</w:t>
      </w:r>
      <w:bookmarkEnd w:id="27"/>
    </w:p>
    <w:p w14:paraId="265EF259" w14:textId="77777777" w:rsidR="00387B60" w:rsidRPr="00387B60" w:rsidRDefault="00387B60" w:rsidP="00387B60">
      <w:pPr>
        <w:ind w:firstLine="284"/>
        <w:rPr>
          <w:rFonts w:ascii="Calibri" w:eastAsia="Times New Roman" w:hAnsi="Calibri" w:cs="Times New Roman"/>
          <w:b/>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p>
    <w:p w14:paraId="2384056B"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C.2.1 Le strutture responsabili dell'Assicurazione della Qualità monitorano sistematicamente l’efficacia del Sistema di AQ, rilevano gli eventuali problemi di loro competenza, propongono azioni di miglioramento plausibili e realizzabili e ne verificano adeguatamente l'efficacia.</w:t>
      </w:r>
    </w:p>
    <w:p w14:paraId="1AD09F7B" w14:textId="77777777" w:rsidR="00387B60" w:rsidRPr="00387B60" w:rsidRDefault="00387B60" w:rsidP="00387B60">
      <w:pPr>
        <w:numPr>
          <w:ilvl w:val="0"/>
          <w:numId w:val="7"/>
        </w:numPr>
        <w:spacing w:after="120" w:line="240" w:lineRule="auto"/>
        <w:ind w:left="714" w:hanging="357"/>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C.2.2 I risultati delle attività di monitoraggio dell’efficacia del Sistema di AQ vengono sistematicamente trasmessi dal Presidio della Qualità al Nucleo di Valutazione per le attività di competenza e al Sistema di Governo dell’Ateneo per il riesame del Sistema di Governo e del Sistema di Assicurazione della Qualità.</w:t>
      </w:r>
    </w:p>
    <w:tbl>
      <w:tblPr>
        <w:tblStyle w:val="Grigliatabella"/>
        <w:tblW w:w="9781" w:type="dxa"/>
        <w:tblInd w:w="-5" w:type="dxa"/>
        <w:tblLook w:val="04A0" w:firstRow="1" w:lastRow="0" w:firstColumn="1" w:lastColumn="0" w:noHBand="0" w:noVBand="1"/>
      </w:tblPr>
      <w:tblGrid>
        <w:gridCol w:w="9781"/>
      </w:tblGrid>
      <w:tr w:rsidR="00387B60" w:rsidRPr="00387B60" w14:paraId="61221AA7" w14:textId="77777777" w:rsidTr="0075363B">
        <w:tc>
          <w:tcPr>
            <w:tcW w:w="9781" w:type="dxa"/>
            <w:shd w:val="clear" w:color="auto" w:fill="auto"/>
          </w:tcPr>
          <w:p w14:paraId="508301B5"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4CE5564B"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p w14:paraId="152C5769"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28604456" w14:textId="77777777" w:rsidTr="0075363B">
        <w:tc>
          <w:tcPr>
            <w:tcW w:w="9781" w:type="dxa"/>
            <w:shd w:val="clear" w:color="auto" w:fill="auto"/>
          </w:tcPr>
          <w:p w14:paraId="74656BC1"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71E3CB50"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4AFBB42C"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353BDC6B"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5483C5F1"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5E4D9CEB"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6289D290"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5C5FCD6E"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6258DD1C"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06276772"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30B845F3"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102A4E8B" w14:textId="77777777" w:rsidR="00387B60" w:rsidRPr="00387B60" w:rsidRDefault="00387B60" w:rsidP="00387B60">
      <w:pPr>
        <w:spacing w:before="360"/>
        <w:ind w:firstLine="284"/>
        <w:rPr>
          <w:rFonts w:asciiTheme="majorHAnsi" w:eastAsia="Times New Roman" w:hAnsiTheme="majorHAnsi" w:cstheme="majorHAnsi"/>
          <w:lang w:eastAsia="it-IT"/>
        </w:rPr>
      </w:pPr>
      <w:r w:rsidRPr="00387B60">
        <w:rPr>
          <w:rFonts w:asciiTheme="majorHAnsi" w:eastAsia="Times New Roman" w:hAnsiTheme="majorHAnsi" w:cstheme="majorHAnsi"/>
          <w:b/>
          <w:i/>
          <w:lang w:eastAsia="it-IT"/>
        </w:rPr>
        <w:t>PdA</w:t>
      </w:r>
      <w:r w:rsidRPr="00387B60">
        <w:rPr>
          <w:rFonts w:asciiTheme="majorHAnsi" w:eastAsia="Times New Roman" w:hAnsiTheme="majorHAnsi" w:cstheme="majorHAnsi"/>
          <w:b/>
          <w:lang w:eastAsia="it-IT"/>
        </w:rPr>
        <w:t xml:space="preserve"> C.3 Valutazione del Sistema e dei Processi di Assicurazione della Qualità della didattica, della ricerca e della terza missione/impatto sociale da parte del Nucleo di Valutazione</w:t>
      </w:r>
    </w:p>
    <w:p w14:paraId="4213DFEC" w14:textId="77777777" w:rsidR="00387B60" w:rsidRPr="00387B60" w:rsidRDefault="00387B60" w:rsidP="00387B60">
      <w:pPr>
        <w:ind w:firstLine="284"/>
        <w:rPr>
          <w:rFonts w:asciiTheme="majorHAnsi" w:eastAsia="Times New Roman" w:hAnsiTheme="majorHAnsi" w:cstheme="majorHAnsi"/>
          <w:b/>
          <w:lang w:eastAsia="it-IT"/>
        </w:rPr>
      </w:pPr>
      <w:r w:rsidRPr="00387B60">
        <w:rPr>
          <w:rFonts w:ascii="Calibri" w:eastAsia="Times New Roman" w:hAnsi="Calibri" w:cs="Times New Roman"/>
          <w:b/>
          <w:i/>
          <w:sz w:val="20"/>
          <w:szCs w:val="20"/>
          <w:lang w:eastAsia="it-IT"/>
        </w:rPr>
        <w:t xml:space="preserve">AdC </w:t>
      </w:r>
      <w:r w:rsidRPr="00387B60">
        <w:rPr>
          <w:rFonts w:ascii="Calibri" w:eastAsia="Times New Roman" w:hAnsi="Calibri" w:cs="Times New Roman"/>
          <w:b/>
          <w:sz w:val="20"/>
          <w:szCs w:val="20"/>
          <w:lang w:eastAsia="it-IT"/>
        </w:rPr>
        <w:t>che vanno affrontati nell’Autovalutazione</w:t>
      </w:r>
      <w:r w:rsidRPr="00387B60">
        <w:rPr>
          <w:rFonts w:asciiTheme="majorHAnsi" w:eastAsia="Times New Roman" w:hAnsiTheme="majorHAnsi" w:cstheme="majorHAnsi"/>
          <w:b/>
          <w:lang w:eastAsia="it-IT"/>
        </w:rPr>
        <w:t>:</w:t>
      </w:r>
    </w:p>
    <w:p w14:paraId="0F8227C5"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C.3.1 Il Nucleo di Valutazione conduce un’analisi approfondita della pianificazione strategica e operativa dell’Ateneo, valuta il sistema adottato dall’Ateneo per la misurazione delle prestazioni dei processi e delle attività e i suoi risultati, con riferimento alle missioni e alle attività istituzionali e gestionali</w:t>
      </w:r>
    </w:p>
    <w:p w14:paraId="0F3C6B8A"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C.3.2 Il Nucleo di Valutazione valuta, anche mediante audizioni, lo stato complessivo del Sistema di AQ e le modalità con cui l’Ateneo e gli organismi preposti all’Assicurazione della Qualità, tengono sotto controllo l'andamento dei CdS, dei Dottorati di Ricerca e dei Dipartimenti.</w:t>
      </w:r>
    </w:p>
    <w:p w14:paraId="1BF63EBD" w14:textId="77777777" w:rsidR="00387B60" w:rsidRPr="00387B60" w:rsidRDefault="00387B60" w:rsidP="00387B60">
      <w:pPr>
        <w:numPr>
          <w:ilvl w:val="0"/>
          <w:numId w:val="7"/>
        </w:numPr>
        <w:spacing w:after="120" w:line="240" w:lineRule="auto"/>
        <w:ind w:left="714" w:hanging="357"/>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C.3.3 I risultati delle attività di valutazione del Sistema di AQ vengono sistematicamente trasmessi dal Nucleo di Valutazione al Presidio della Qualità e al Sistema di Governo dell’Ateneo per il riesame del Sistema di Governo e del Sistema di Assicurazione della Qualità.</w:t>
      </w:r>
    </w:p>
    <w:tbl>
      <w:tblPr>
        <w:tblStyle w:val="Grigliatabella"/>
        <w:tblW w:w="9781" w:type="dxa"/>
        <w:tblInd w:w="-5" w:type="dxa"/>
        <w:tblLook w:val="04A0" w:firstRow="1" w:lastRow="0" w:firstColumn="1" w:lastColumn="0" w:noHBand="0" w:noVBand="1"/>
      </w:tblPr>
      <w:tblGrid>
        <w:gridCol w:w="9781"/>
      </w:tblGrid>
      <w:tr w:rsidR="00387B60" w:rsidRPr="00387B60" w14:paraId="6428C9D5" w14:textId="77777777" w:rsidTr="0075363B">
        <w:tc>
          <w:tcPr>
            <w:tcW w:w="9781" w:type="dxa"/>
            <w:shd w:val="clear" w:color="auto" w:fill="auto"/>
          </w:tcPr>
          <w:p w14:paraId="50D19593"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13641C18"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lastRenderedPageBreak/>
              <w:t>…</w:t>
            </w:r>
          </w:p>
          <w:p w14:paraId="02968995"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4608FB78" w14:textId="77777777" w:rsidTr="0075363B">
        <w:tc>
          <w:tcPr>
            <w:tcW w:w="9781" w:type="dxa"/>
            <w:shd w:val="clear" w:color="auto" w:fill="auto"/>
          </w:tcPr>
          <w:p w14:paraId="0BD3CCC5"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lastRenderedPageBreak/>
              <w:t>Fonti documentali indicate dall'Ateneo per l'esame a distanza (non più di 16 documenti):</w:t>
            </w:r>
          </w:p>
          <w:p w14:paraId="57636A9F"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1BFE336D"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02079207"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7779B735"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137673F4"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424B203F"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5720EB19"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24E81299"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761E3C5D"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00FEB240"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61A4099A" w14:textId="77777777" w:rsidR="00387B60" w:rsidRPr="00387B60" w:rsidRDefault="00387B60" w:rsidP="00387B60">
      <w:pPr>
        <w:rPr>
          <w:rFonts w:asciiTheme="majorHAnsi" w:eastAsia="Times New Roman" w:hAnsiTheme="majorHAnsi" w:cstheme="majorHAnsi"/>
          <w:i/>
          <w:sz w:val="18"/>
          <w:szCs w:val="18"/>
          <w:lang w:eastAsia="it-IT"/>
        </w:rPr>
      </w:pPr>
      <w:r w:rsidRPr="00387B60">
        <w:rPr>
          <w:rFonts w:ascii="Calibri" w:eastAsia="Times New Roman" w:hAnsi="Calibri" w:cstheme="majorHAnsi"/>
          <w:b/>
          <w:bCs/>
          <w:sz w:val="24"/>
          <w:szCs w:val="24"/>
          <w:lang w:eastAsia="it-IT"/>
        </w:rPr>
        <w:br w:type="page"/>
      </w:r>
    </w:p>
    <w:p w14:paraId="6D114A89" w14:textId="77777777" w:rsidR="00387B60" w:rsidRPr="00387B60" w:rsidRDefault="00387B60" w:rsidP="00387B60">
      <w:pPr>
        <w:keepNext/>
        <w:keepLines/>
        <w:spacing w:before="240" w:after="0"/>
        <w:outlineLvl w:val="0"/>
        <w:rPr>
          <w:rFonts w:asciiTheme="majorHAnsi" w:eastAsiaTheme="majorEastAsia" w:hAnsiTheme="majorHAnsi" w:cstheme="majorHAnsi"/>
          <w:b/>
          <w:bCs/>
          <w:sz w:val="24"/>
          <w:szCs w:val="24"/>
          <w:lang w:eastAsia="it-IT"/>
        </w:rPr>
      </w:pPr>
      <w:bookmarkStart w:id="29" w:name="_Toc169793594"/>
      <w:r w:rsidRPr="00387B60">
        <w:rPr>
          <w:rFonts w:asciiTheme="majorHAnsi" w:eastAsiaTheme="majorEastAsia" w:hAnsiTheme="majorHAnsi" w:cstheme="majorHAnsi"/>
          <w:b/>
          <w:bCs/>
          <w:sz w:val="24"/>
          <w:szCs w:val="24"/>
          <w:lang w:eastAsia="it-IT"/>
        </w:rPr>
        <w:lastRenderedPageBreak/>
        <w:t>Ambito D – Qualità della didattica e dei servizi agli studenti</w:t>
      </w:r>
      <w:bookmarkEnd w:id="29"/>
    </w:p>
    <w:p w14:paraId="4B6551B2" w14:textId="77777777" w:rsidR="00387B60" w:rsidRPr="00387B60" w:rsidRDefault="00387B60" w:rsidP="00387B60">
      <w:pPr>
        <w:spacing w:before="120"/>
        <w:rPr>
          <w:rFonts w:asciiTheme="majorHAnsi" w:eastAsia="Times New Roman" w:hAnsiTheme="majorHAnsi" w:cstheme="majorHAnsi"/>
          <w:sz w:val="20"/>
          <w:szCs w:val="20"/>
          <w:lang w:eastAsia="it-IT"/>
        </w:rPr>
      </w:pPr>
      <w:r w:rsidRPr="00387B60">
        <w:rPr>
          <w:rFonts w:asciiTheme="majorHAnsi" w:eastAsia="Times New Roman" w:hAnsiTheme="majorHAnsi" w:cstheme="majorHAnsi"/>
          <w:sz w:val="20"/>
          <w:szCs w:val="20"/>
          <w:lang w:eastAsia="it-IT"/>
        </w:rPr>
        <w:t>In questo ambito si valuta la capacità dell’Ateneo di avere una chiara visione complessiva della programmazione e dell'articolazione dell'offerta formativa, anche in relazione al contesto di riferimento nazionale e internazionale. Aspetti importanti riguardano: (i) la progettazione e l’aggiornamento dei corsi di studio, tenendo conto delle necessità di sviluppo espresse dalla società e dal contesto di riferimento anche in relazione agli obiettivi di internazionalizzazione e alle diverse modalità di erogazione della didattica (in presenza, a distanza o di tipo misto, (ii) lo sviluppo di un’offerta formativa dei Corsi di Studio coerente con la docenza e le risorse logistiche, infrastrutturali, didattiche e di ricerca possedute, (iii) l’attenzione dei Corsi di Studio agli studenti, attraverso la programmazione e l’attuazione di attività efficaci di orientamento in ingresso, in itinere e in uscita, di modalità chiare e trasparenti per l’ammissione ai diversi Corsi di Studio, di gestione delle carriere e di tutoraggio. Si valuta anche il sistema di gestione delle risorse e dei servizi a supporto della didattica e degli studenti.</w:t>
      </w:r>
    </w:p>
    <w:p w14:paraId="08FBF11C" w14:textId="77777777" w:rsidR="00387B60" w:rsidRPr="00387B60" w:rsidRDefault="00387B60" w:rsidP="00387B60">
      <w:pPr>
        <w:spacing w:after="120"/>
        <w:ind w:firstLine="284"/>
        <w:rPr>
          <w:rFonts w:asciiTheme="majorHAnsi" w:eastAsiaTheme="majorEastAsia" w:hAnsiTheme="majorHAnsi" w:cstheme="majorHAnsi"/>
          <w:b/>
          <w:szCs w:val="24"/>
          <w:lang w:eastAsia="it-IT"/>
        </w:rPr>
      </w:pPr>
      <w:r w:rsidRPr="00387B60">
        <w:rPr>
          <w:rFonts w:asciiTheme="majorHAnsi" w:eastAsiaTheme="majorEastAsia" w:hAnsiTheme="majorHAnsi" w:cstheme="majorHAnsi"/>
          <w:b/>
          <w:i/>
          <w:szCs w:val="24"/>
          <w:lang w:eastAsia="it-IT"/>
        </w:rPr>
        <w:t>PdA</w:t>
      </w:r>
      <w:r w:rsidRPr="00387B60">
        <w:rPr>
          <w:rFonts w:asciiTheme="majorHAnsi" w:eastAsiaTheme="majorEastAsia" w:hAnsiTheme="majorHAnsi" w:cstheme="majorHAnsi"/>
          <w:b/>
          <w:szCs w:val="24"/>
          <w:lang w:eastAsia="it-IT"/>
        </w:rPr>
        <w:t xml:space="preserve"> D.1 Programmazione dell’offerta formativa</w:t>
      </w:r>
    </w:p>
    <w:p w14:paraId="445D71AC" w14:textId="77777777" w:rsidR="00387B60" w:rsidRPr="00387B60" w:rsidRDefault="00387B60" w:rsidP="00387B60">
      <w:pPr>
        <w:ind w:firstLine="284"/>
        <w:rPr>
          <w:rFonts w:ascii="Calibri" w:eastAsia="Times New Roman" w:hAnsi="Calibri" w:cstheme="majorHAnsi"/>
          <w:b/>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r w:rsidRPr="00387B60">
        <w:rPr>
          <w:rFonts w:ascii="Calibri" w:eastAsia="Times New Roman" w:hAnsi="Calibri" w:cstheme="majorHAnsi"/>
          <w:b/>
          <w:lang w:eastAsia="it-IT"/>
        </w:rPr>
        <w:t>:</w:t>
      </w:r>
    </w:p>
    <w:p w14:paraId="4FDEBDA8"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D.1.1 L'Ateneo ha una visione complessiva dell'articolazione dell'offerta formativa e delle sue potenzialità di sviluppo, coerente con la propria pianificazione strategica e le risorse disponibili e gli European Standards and Guidelines per l’Assicurazione della Qualità nell’European Higher Education Area (EHEA); la visione tiene conto delle esigenze delle parti interessate e del contesto di riferimento e viene comunicata in modo trasparente.</w:t>
      </w:r>
    </w:p>
    <w:p w14:paraId="2F1EBEA2"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D.1.2 L’Ateneo definisce e comunica pubblicamente la propria offerta formativa attraverso i propri regolamenti, ai quali viene data adeguata visibilità e accessibilità tramite il sito web dell’Ateneo.</w:t>
      </w:r>
    </w:p>
    <w:p w14:paraId="49841635"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D.1.3</w:t>
      </w:r>
      <w:r w:rsidRPr="00387B60">
        <w:rPr>
          <w:rFonts w:asciiTheme="majorHAnsi" w:eastAsia="Times New Roman" w:hAnsiTheme="majorHAnsi" w:cstheme="majorHAnsi"/>
          <w:sz w:val="20"/>
          <w:szCs w:val="20"/>
          <w:lang w:eastAsia="it-IT"/>
        </w:rPr>
        <w:t xml:space="preserve"> </w:t>
      </w:r>
      <w:r w:rsidRPr="00387B60">
        <w:rPr>
          <w:rFonts w:asciiTheme="majorHAnsi" w:eastAsia="Times New Roman" w:hAnsiTheme="majorHAnsi" w:cstheme="majorHAnsi"/>
          <w:i/>
          <w:sz w:val="20"/>
          <w:szCs w:val="20"/>
          <w:lang w:eastAsia="it-IT"/>
        </w:rPr>
        <w:t>L’Ateneo promuove iniziative per favorire l'internazionalizzazione dell'offerta formativa complessiva, con particolare attenzione alla partecipazione ad alleanze di università, alla realizzazione di Corsi di Studio internazionali e ai Corsi di Dottorato di Ricerca in collaborazione con istituzioni estere.</w:t>
      </w:r>
    </w:p>
    <w:p w14:paraId="6B54C26C" w14:textId="77777777" w:rsidR="00387B60" w:rsidRPr="00387B60" w:rsidRDefault="00387B60" w:rsidP="0004072C">
      <w:pPr>
        <w:spacing w:after="120" w:line="240" w:lineRule="auto"/>
        <w:ind w:left="714"/>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del Punto di Attenzione D.CDS.2.4 dei CdS oggetto di visita].</w:t>
      </w:r>
    </w:p>
    <w:tbl>
      <w:tblPr>
        <w:tblStyle w:val="Grigliatabella"/>
        <w:tblW w:w="9781" w:type="dxa"/>
        <w:tblInd w:w="-5" w:type="dxa"/>
        <w:tblLook w:val="04A0" w:firstRow="1" w:lastRow="0" w:firstColumn="1" w:lastColumn="0" w:noHBand="0" w:noVBand="1"/>
      </w:tblPr>
      <w:tblGrid>
        <w:gridCol w:w="9781"/>
      </w:tblGrid>
      <w:tr w:rsidR="00387B60" w:rsidRPr="00387B60" w14:paraId="6CD0AD57" w14:textId="77777777" w:rsidTr="0075363B">
        <w:tc>
          <w:tcPr>
            <w:tcW w:w="9781" w:type="dxa"/>
            <w:shd w:val="clear" w:color="auto" w:fill="auto"/>
          </w:tcPr>
          <w:p w14:paraId="2DB39AE7" w14:textId="77777777" w:rsidR="00387B60" w:rsidRPr="00387B60" w:rsidRDefault="00387B60" w:rsidP="00DC4840">
            <w:pPr>
              <w:spacing w:before="120" w:after="120"/>
              <w:ind w:right="141"/>
              <w:rPr>
                <w:rFonts w:asciiTheme="majorHAnsi" w:hAnsiTheme="majorHAnsi" w:cstheme="majorHAnsi"/>
                <w:b/>
                <w:bCs/>
              </w:rPr>
            </w:pPr>
            <w:bookmarkStart w:id="30" w:name="_Hlk169772938"/>
            <w:r w:rsidRPr="00387B60">
              <w:rPr>
                <w:rFonts w:asciiTheme="majorHAnsi" w:hAnsiTheme="majorHAnsi" w:cstheme="majorHAnsi"/>
                <w:b/>
                <w:bCs/>
              </w:rPr>
              <w:t>Autovalutazione (non più di 2.000 parole)</w:t>
            </w:r>
          </w:p>
          <w:p w14:paraId="5E4A5886"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p w14:paraId="6532E6E4"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0056C6BE" w14:textId="77777777" w:rsidTr="0075363B">
        <w:tc>
          <w:tcPr>
            <w:tcW w:w="9781" w:type="dxa"/>
            <w:shd w:val="clear" w:color="auto" w:fill="auto"/>
          </w:tcPr>
          <w:p w14:paraId="1C96CDC1"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6060355C"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65EBF8DD"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28B72C73"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1630FC6A"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705030AB"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4F67F8DF"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62C35A74"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7B71ED01"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5C9E2989"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3AAC5572"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bookmarkEnd w:id="30"/>
    <w:p w14:paraId="5A279025" w14:textId="77777777" w:rsidR="00DC4840" w:rsidRDefault="00387B60" w:rsidP="00387B60">
      <w:pPr>
        <w:keepNext/>
        <w:keepLines/>
        <w:tabs>
          <w:tab w:val="left" w:pos="284"/>
        </w:tabs>
        <w:spacing w:before="240" w:after="120"/>
        <w:outlineLvl w:val="2"/>
        <w:rPr>
          <w:rFonts w:asciiTheme="majorHAnsi" w:eastAsiaTheme="majorEastAsia" w:hAnsiTheme="majorHAnsi" w:cstheme="majorHAnsi"/>
          <w:b/>
          <w:i/>
          <w:szCs w:val="24"/>
          <w:lang w:eastAsia="it-IT"/>
        </w:rPr>
      </w:pPr>
      <w:r w:rsidRPr="00387B60">
        <w:rPr>
          <w:rFonts w:asciiTheme="majorHAnsi" w:eastAsiaTheme="majorEastAsia" w:hAnsiTheme="majorHAnsi" w:cstheme="majorHAnsi"/>
          <w:b/>
          <w:i/>
          <w:szCs w:val="24"/>
          <w:lang w:eastAsia="it-IT"/>
        </w:rPr>
        <w:lastRenderedPageBreak/>
        <w:tab/>
      </w:r>
      <w:bookmarkStart w:id="31" w:name="_Toc169793595"/>
    </w:p>
    <w:p w14:paraId="1C130FB6" w14:textId="64563476" w:rsidR="00387B60" w:rsidRPr="00387B60" w:rsidRDefault="00387B60" w:rsidP="00387B60">
      <w:pPr>
        <w:keepNext/>
        <w:keepLines/>
        <w:tabs>
          <w:tab w:val="left" w:pos="284"/>
        </w:tabs>
        <w:spacing w:before="240" w:after="120"/>
        <w:outlineLvl w:val="2"/>
        <w:rPr>
          <w:rFonts w:asciiTheme="majorHAnsi" w:eastAsiaTheme="majorEastAsia" w:hAnsiTheme="majorHAnsi" w:cstheme="majorHAnsi"/>
          <w:b/>
          <w:szCs w:val="24"/>
          <w:lang w:eastAsia="it-IT"/>
        </w:rPr>
      </w:pPr>
      <w:r w:rsidRPr="00387B60">
        <w:rPr>
          <w:rFonts w:asciiTheme="majorHAnsi" w:eastAsiaTheme="majorEastAsia" w:hAnsiTheme="majorHAnsi" w:cstheme="majorHAnsi"/>
          <w:b/>
          <w:i/>
          <w:szCs w:val="24"/>
          <w:lang w:eastAsia="it-IT"/>
        </w:rPr>
        <w:t>PdA</w:t>
      </w:r>
      <w:r w:rsidRPr="00387B60">
        <w:rPr>
          <w:rFonts w:asciiTheme="majorHAnsi" w:eastAsiaTheme="majorEastAsia" w:hAnsiTheme="majorHAnsi" w:cstheme="majorHAnsi"/>
          <w:b/>
          <w:szCs w:val="24"/>
          <w:lang w:eastAsia="it-IT"/>
        </w:rPr>
        <w:t xml:space="preserve"> D.2 Progettazione e aggiornamento di CdS e Dottorati di Ricerca incentrati sullo studente</w:t>
      </w:r>
      <w:bookmarkEnd w:id="31"/>
    </w:p>
    <w:p w14:paraId="224E84CC" w14:textId="77777777" w:rsidR="00387B60" w:rsidRPr="00387B60" w:rsidRDefault="00387B60" w:rsidP="00387B60">
      <w:pPr>
        <w:ind w:firstLine="360"/>
        <w:rPr>
          <w:rFonts w:asciiTheme="majorHAnsi" w:eastAsia="Times New Roman" w:hAnsiTheme="majorHAnsi" w:cstheme="majorHAnsi"/>
          <w:b/>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r w:rsidRPr="00387B60">
        <w:rPr>
          <w:rFonts w:asciiTheme="majorHAnsi" w:eastAsia="Times New Roman" w:hAnsiTheme="majorHAnsi" w:cstheme="majorHAnsi"/>
          <w:b/>
          <w:lang w:eastAsia="it-IT"/>
        </w:rPr>
        <w:t>:</w:t>
      </w:r>
    </w:p>
    <w:p w14:paraId="39495981"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D.2.1 L'Ateneo fa sì che nella progettazione e nell’aggiornamento dell’offerta formativa i CdS e i Dottorati di Ricerca tengano conto delle esigenze espresse dalla società e dal contesto di riferimento, individuate attraverso consultazioni con una adeguata gamma di parti interessate e/o facendo ricorso a studi di settore e alle valutazioni ricevute (MUR, CUN, ANVUR, NdV, CPDS, etc.). In presenza di Corsi di Studio a distanza, l’Ateneo motiva, dal punto di vista dell’efficacia formativa e delle esigenze organizzative, l’adozione del relativo modello di erogazione misto, prevalentemente o integralmente a distanza.</w:t>
      </w:r>
    </w:p>
    <w:p w14:paraId="4DFB8A12" w14:textId="77777777" w:rsidR="00387B60" w:rsidRPr="00387B60" w:rsidRDefault="00387B60" w:rsidP="0004072C">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dei Punti di Attenzione D.CDS.1.1 e D.PHD.1 dei CdS e dei Corsi di Dottorato di Ricerca oggetto di visita].</w:t>
      </w:r>
    </w:p>
    <w:p w14:paraId="45ECB712"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D.2.2</w:t>
      </w:r>
      <w:r w:rsidRPr="00387B60">
        <w:rPr>
          <w:rFonts w:asciiTheme="majorHAnsi" w:eastAsia="Times New Roman" w:hAnsiTheme="majorHAnsi" w:cstheme="majorHAnsi"/>
          <w:sz w:val="20"/>
          <w:szCs w:val="20"/>
          <w:lang w:eastAsia="it-IT"/>
        </w:rPr>
        <w:t xml:space="preserve"> </w:t>
      </w:r>
      <w:r w:rsidRPr="00387B60">
        <w:rPr>
          <w:rFonts w:asciiTheme="majorHAnsi" w:eastAsia="Times New Roman" w:hAnsiTheme="majorHAnsi" w:cstheme="majorHAnsi"/>
          <w:i/>
          <w:sz w:val="20"/>
          <w:szCs w:val="20"/>
          <w:lang w:eastAsia="it-IT"/>
        </w:rPr>
        <w:t>Nella progettazione ed erogazione dei CdS e dei Corsi di Dottorato di Ricerca, l’Ateneo promuove un approccio all'apprendimento e all'insegnamento incentrati sullo studente, che incentivi studenti e dottorandi ad assumere un ruolo attivo nei processi di apprendimento e contribuisca a stimolarne la motivazione, lo spirito critico e l’autonomia organizzativa.</w:t>
      </w:r>
    </w:p>
    <w:p w14:paraId="253801E9" w14:textId="77777777" w:rsidR="00387B60" w:rsidRPr="00387B60" w:rsidRDefault="00387B60" w:rsidP="0004072C">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dei Punti di Attenzione D.CDS.1.2 e D.CDS.2.3 dei CdS oggetto di visita].</w:t>
      </w:r>
    </w:p>
    <w:p w14:paraId="70AE0F59"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D.2.3 L'Ateneo si accerta che, in fase di progettazione iniziale e aggiornamento dei CdS e dei Dottorati di Ricerca, venga valorizzato il legame fra le competenze scientifiche disponibili e gli obiettivi formativi.</w:t>
      </w:r>
    </w:p>
    <w:p w14:paraId="608FC304" w14:textId="77777777" w:rsidR="00387B60" w:rsidRPr="00387B60" w:rsidRDefault="00387B60" w:rsidP="0004072C">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dei Punti di Attenzione D.CDS.1.3 e D.CDS.3.1 dei CdS oggetto di visita].</w:t>
      </w:r>
    </w:p>
    <w:p w14:paraId="063949B2"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D.2.4 L'Ateneo si accerta che le metodologie didattiche adottate tengano conto dell’evoluzione degli approcci e delle tecnologie, anche con riferimento all’interazione docente/tutor-studente, alla didattica a distanza e alle esigenze di specifiche categorie di studenti con particolare attenzione alla disabilità e ai disturbi specifici di apprendimento (DSA) e ai bisogni educativi speciali (BES).</w:t>
      </w:r>
    </w:p>
    <w:p w14:paraId="5ECCF1F3" w14:textId="77777777" w:rsidR="00387B60" w:rsidRPr="00387B60" w:rsidRDefault="00387B60" w:rsidP="0004072C">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dei Punti di Attenzione D.CDS.2.3 e D.CDS.3.1 dei CdS oggetto di visita].</w:t>
      </w:r>
    </w:p>
    <w:p w14:paraId="776AF1A2"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D.2.5 L'Ateneo si accerta che l'offerta formativa sia costantemente monitorata e aggiornata dai CdS, dai Corsi di Dottorato di Ricerca e dai Dipartimenti e rifletta le conoscenze disciplinari più avanzate, anche in relazione alla concatenazione dei livelli di formazione, fino ai Corsi di Dottorato di Ricerca ove attivati.</w:t>
      </w:r>
    </w:p>
    <w:p w14:paraId="5CC4C571" w14:textId="77777777" w:rsidR="00387B60" w:rsidRPr="00387B60" w:rsidRDefault="00387B60" w:rsidP="0004072C">
      <w:pPr>
        <w:spacing w:after="120" w:line="240" w:lineRule="auto"/>
        <w:ind w:left="714"/>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dei Punti di Attenzione D.CDS.4.2 e D.PHD.3.3 dei CdS e Corsi di Dottorato oggetto di visita].</w:t>
      </w:r>
    </w:p>
    <w:tbl>
      <w:tblPr>
        <w:tblStyle w:val="Grigliatabella"/>
        <w:tblW w:w="9639" w:type="dxa"/>
        <w:tblInd w:w="-5" w:type="dxa"/>
        <w:tblLook w:val="04A0" w:firstRow="1" w:lastRow="0" w:firstColumn="1" w:lastColumn="0" w:noHBand="0" w:noVBand="1"/>
      </w:tblPr>
      <w:tblGrid>
        <w:gridCol w:w="9639"/>
      </w:tblGrid>
      <w:tr w:rsidR="00387B60" w:rsidRPr="00387B60" w14:paraId="5A93033F" w14:textId="77777777" w:rsidTr="0075363B">
        <w:tc>
          <w:tcPr>
            <w:tcW w:w="9639" w:type="dxa"/>
            <w:shd w:val="clear" w:color="auto" w:fill="auto"/>
          </w:tcPr>
          <w:p w14:paraId="03D767FB"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79BCB92F"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p w14:paraId="58193855"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095CE8A9" w14:textId="77777777" w:rsidTr="0075363B">
        <w:tc>
          <w:tcPr>
            <w:tcW w:w="9639" w:type="dxa"/>
            <w:shd w:val="clear" w:color="auto" w:fill="auto"/>
          </w:tcPr>
          <w:p w14:paraId="54F07714"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28152963"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4EE17CC0"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3B7BBE06"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1535B1B7"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47EF8289"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4A6F9F6E"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37441AC0"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4AC2FEC8"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35B51FFD"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lastRenderedPageBreak/>
              <w:t>Riferimento (capitolo/paragrafo, etc.):</w:t>
            </w:r>
          </w:p>
          <w:p w14:paraId="009904E1"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4C56425C" w14:textId="77777777" w:rsidR="00387B60" w:rsidRPr="00387B60" w:rsidRDefault="00387B60" w:rsidP="00387B60">
      <w:pPr>
        <w:keepNext/>
        <w:keepLines/>
        <w:tabs>
          <w:tab w:val="left" w:pos="426"/>
        </w:tabs>
        <w:spacing w:before="360" w:after="120"/>
        <w:outlineLvl w:val="2"/>
        <w:rPr>
          <w:rFonts w:asciiTheme="majorHAnsi" w:eastAsiaTheme="majorEastAsia" w:hAnsiTheme="majorHAnsi" w:cstheme="majorHAnsi"/>
          <w:b/>
          <w:szCs w:val="24"/>
          <w:lang w:eastAsia="it-IT"/>
        </w:rPr>
      </w:pPr>
      <w:r w:rsidRPr="00387B60">
        <w:rPr>
          <w:rFonts w:asciiTheme="majorHAnsi" w:eastAsiaTheme="majorEastAsia" w:hAnsiTheme="majorHAnsi" w:cstheme="majorHAnsi"/>
          <w:b/>
          <w:i/>
          <w:szCs w:val="24"/>
          <w:lang w:eastAsia="it-IT"/>
        </w:rPr>
        <w:lastRenderedPageBreak/>
        <w:tab/>
      </w:r>
      <w:bookmarkStart w:id="32" w:name="_Toc169793596"/>
      <w:r w:rsidRPr="00387B60">
        <w:rPr>
          <w:rFonts w:asciiTheme="majorHAnsi" w:eastAsiaTheme="majorEastAsia" w:hAnsiTheme="majorHAnsi" w:cstheme="majorHAnsi"/>
          <w:b/>
          <w:i/>
          <w:szCs w:val="24"/>
          <w:lang w:eastAsia="it-IT"/>
        </w:rPr>
        <w:t>PdA</w:t>
      </w:r>
      <w:r w:rsidRPr="00387B60">
        <w:rPr>
          <w:rFonts w:asciiTheme="majorHAnsi" w:eastAsiaTheme="majorEastAsia" w:hAnsiTheme="majorHAnsi" w:cstheme="majorHAnsi"/>
          <w:b/>
          <w:szCs w:val="24"/>
          <w:lang w:eastAsia="it-IT"/>
        </w:rPr>
        <w:t xml:space="preserve"> D.3 Ammissione e carriera degli studenti</w:t>
      </w:r>
      <w:bookmarkEnd w:id="32"/>
    </w:p>
    <w:p w14:paraId="243C93C9" w14:textId="77777777" w:rsidR="00387B60" w:rsidRPr="00387B60" w:rsidRDefault="00387B60" w:rsidP="00387B60">
      <w:pPr>
        <w:ind w:firstLine="360"/>
        <w:rPr>
          <w:rFonts w:ascii="Calibri" w:eastAsia="Times New Roman" w:hAnsi="Calibri" w:cs="Times New Roman"/>
          <w:b/>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r w:rsidRPr="00387B60">
        <w:rPr>
          <w:rFonts w:ascii="Calibri" w:eastAsia="Times New Roman" w:hAnsi="Calibri" w:cs="Times New Roman"/>
          <w:b/>
          <w:lang w:eastAsia="it-IT"/>
        </w:rPr>
        <w:t>:</w:t>
      </w:r>
    </w:p>
    <w:p w14:paraId="42FE4569"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D.3.1 L’Ateneo organizza attività di orientamento in ingresso coerenti con le politiche e le strategie definite per l'ammissione degli studenti e che tengono conto delle loro aspirazioni, esigenze e motivazioni.</w:t>
      </w:r>
    </w:p>
    <w:p w14:paraId="2FB99A3F" w14:textId="77777777" w:rsidR="00387B60" w:rsidRPr="00387B60" w:rsidRDefault="00387B60" w:rsidP="002C77A1">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del Punto di Attenzione D.CDS.2.1 dei CdS oggetto di visita].</w:t>
      </w:r>
    </w:p>
    <w:p w14:paraId="7E5F3933"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D.3.2</w:t>
      </w:r>
      <w:r w:rsidRPr="00387B60">
        <w:rPr>
          <w:rFonts w:asciiTheme="majorHAnsi" w:eastAsia="Times New Roman" w:hAnsiTheme="majorHAnsi" w:cstheme="majorHAnsi"/>
          <w:sz w:val="20"/>
          <w:szCs w:val="20"/>
          <w:lang w:eastAsia="it-IT"/>
        </w:rPr>
        <w:t xml:space="preserve"> </w:t>
      </w:r>
      <w:r w:rsidRPr="00387B60">
        <w:rPr>
          <w:rFonts w:asciiTheme="majorHAnsi" w:eastAsia="Times New Roman" w:hAnsiTheme="majorHAnsi" w:cstheme="majorHAnsi"/>
          <w:i/>
          <w:sz w:val="20"/>
          <w:szCs w:val="20"/>
          <w:lang w:eastAsia="it-IT"/>
        </w:rPr>
        <w:t>L’Ateneo definisce e comunica con chiarezza modalità trasparenti per l'ammissione e l'iscrizione degli studenti e per la gestione delle loro carriere.</w:t>
      </w:r>
    </w:p>
    <w:p w14:paraId="26226353" w14:textId="77777777" w:rsidR="00387B60" w:rsidRPr="00387B60" w:rsidRDefault="00387B60" w:rsidP="002C77A1">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dei Punti di Attenzione D.CDS.2.2 dei CdS oggetto di visita].</w:t>
      </w:r>
    </w:p>
    <w:p w14:paraId="10491C21"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 xml:space="preserve">D.3.3 Se l'Ateneo si è dato una connotazione internazionale, adotta specifiche strategie per promuovere il reclutamento di studenti stranieri con particolare attenzione ai Corsi di Dottorato di Ricerca. </w:t>
      </w:r>
    </w:p>
    <w:p w14:paraId="5FC8E192" w14:textId="77777777" w:rsidR="00387B60" w:rsidRPr="00387B60" w:rsidRDefault="00387B60" w:rsidP="002C77A1">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del Punto di Attenzione D.CDS.2.4 dei CdS oggetto di visita].</w:t>
      </w:r>
    </w:p>
    <w:p w14:paraId="38829819"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D.3.4 La gestione delle carriere tiene in considerazione le esigenze di specifiche categorie di studenti con particolare attenzione alla disabilità, ai disturbi specifici di apprendimento (DSA) e ai bisogni educativi speciali (BES).</w:t>
      </w:r>
    </w:p>
    <w:p w14:paraId="0511CCCE" w14:textId="77777777" w:rsidR="00387B60" w:rsidRPr="00387B60" w:rsidRDefault="00387B60" w:rsidP="002C77A1">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dei Punti di Attenzione D.CDS.2.3 dei CdS oggetto di visita].</w:t>
      </w:r>
    </w:p>
    <w:p w14:paraId="16EAA686"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D.3.5 L'Ateneo promuove la realizzazione di attività di sostegno per gli studenti con particolare attenzione alle debolezze o lacune nella preparazione iniziale, ad attività specificamente indirizzate agli studenti più preparati e motivati e a servizi di counseling.</w:t>
      </w:r>
    </w:p>
    <w:p w14:paraId="4303122F" w14:textId="77777777" w:rsidR="00387B60" w:rsidRPr="00387B60" w:rsidRDefault="00387B60" w:rsidP="002C77A1">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dei Punti di Attenzione D.CDS.2.2 e D.CDS.2.3 dei CdS oggetto di visita].</w:t>
      </w:r>
    </w:p>
    <w:p w14:paraId="67DD750E"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 xml:space="preserve">D.3.6 L’Ateneo prevede un’offerta adeguatamente ampia e articolata di attività di tutorato per gli studenti in ingresso e in itinere e di attività di orientamento in uscita. </w:t>
      </w:r>
    </w:p>
    <w:p w14:paraId="35E08E13" w14:textId="77777777" w:rsidR="00387B60" w:rsidRPr="00387B60" w:rsidRDefault="00387B60" w:rsidP="002C77A1">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del Punto di Attenzione D.CDS.2.1 dei CdS oggetto di visita].</w:t>
      </w:r>
    </w:p>
    <w:p w14:paraId="02B74FA4"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D.3.7 L’Ateneo promuove iniziative per il Life Long Learning e il coinvolgimento degli Alumni.</w:t>
      </w:r>
    </w:p>
    <w:p w14:paraId="4D76E6CC" w14:textId="77777777" w:rsidR="00387B60" w:rsidRPr="00387B60" w:rsidRDefault="00387B60" w:rsidP="00387B60">
      <w:pPr>
        <w:numPr>
          <w:ilvl w:val="0"/>
          <w:numId w:val="7"/>
        </w:numPr>
        <w:spacing w:after="120" w:line="240" w:lineRule="auto"/>
        <w:ind w:left="714" w:hanging="357"/>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D.3.8 Viene rilasciato il Diploma Supplement.</w:t>
      </w:r>
    </w:p>
    <w:tbl>
      <w:tblPr>
        <w:tblStyle w:val="Grigliatabella"/>
        <w:tblW w:w="9781" w:type="dxa"/>
        <w:tblInd w:w="-5" w:type="dxa"/>
        <w:tblLook w:val="04A0" w:firstRow="1" w:lastRow="0" w:firstColumn="1" w:lastColumn="0" w:noHBand="0" w:noVBand="1"/>
      </w:tblPr>
      <w:tblGrid>
        <w:gridCol w:w="9781"/>
      </w:tblGrid>
      <w:tr w:rsidR="00387B60" w:rsidRPr="00387B60" w14:paraId="6CCADCBA" w14:textId="77777777" w:rsidTr="0075363B">
        <w:tc>
          <w:tcPr>
            <w:tcW w:w="9781" w:type="dxa"/>
            <w:shd w:val="clear" w:color="auto" w:fill="auto"/>
          </w:tcPr>
          <w:p w14:paraId="6580FDFF"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209D00F9"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p w14:paraId="423B020F"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6AE7CCFB" w14:textId="77777777" w:rsidTr="0075363B">
        <w:tc>
          <w:tcPr>
            <w:tcW w:w="9781" w:type="dxa"/>
            <w:shd w:val="clear" w:color="auto" w:fill="auto"/>
          </w:tcPr>
          <w:p w14:paraId="3D82BF43"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5BF03233"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28C2A599"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4E57949B"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10ECD6BA"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68F65DEE"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4E7E74C9"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6453307D"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667813B5"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lastRenderedPageBreak/>
              <w:t>Breve Descrizione:</w:t>
            </w:r>
          </w:p>
          <w:p w14:paraId="279900F7"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33C6C106"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59AFB62A" w14:textId="77777777" w:rsidR="00387B60" w:rsidRPr="00387B60" w:rsidRDefault="00387B60" w:rsidP="00387B60">
      <w:pPr>
        <w:rPr>
          <w:rFonts w:asciiTheme="majorHAnsi" w:eastAsia="Times New Roman" w:hAnsiTheme="majorHAnsi" w:cstheme="majorHAnsi"/>
          <w:i/>
          <w:iCs/>
          <w:sz w:val="20"/>
          <w:szCs w:val="20"/>
          <w:lang w:eastAsia="it-IT"/>
        </w:rPr>
      </w:pPr>
      <w:r w:rsidRPr="00387B60">
        <w:rPr>
          <w:rFonts w:asciiTheme="majorHAnsi" w:eastAsia="Times New Roman" w:hAnsiTheme="majorHAnsi" w:cstheme="majorHAnsi"/>
          <w:i/>
          <w:iCs/>
          <w:sz w:val="20"/>
          <w:szCs w:val="20"/>
          <w:lang w:eastAsia="it-IT"/>
        </w:rPr>
        <w:lastRenderedPageBreak/>
        <w:br w:type="page"/>
      </w:r>
    </w:p>
    <w:p w14:paraId="44EC4233" w14:textId="77777777" w:rsidR="00387B60" w:rsidRPr="00387B60" w:rsidRDefault="00387B60" w:rsidP="00387B60">
      <w:pPr>
        <w:rPr>
          <w:rFonts w:ascii="Calibri" w:eastAsia="Times New Roman" w:hAnsi="Calibri" w:cstheme="majorHAnsi"/>
          <w:b/>
          <w:bCs/>
          <w:sz w:val="24"/>
          <w:szCs w:val="24"/>
          <w:lang w:eastAsia="it-IT"/>
        </w:rPr>
      </w:pPr>
      <w:r w:rsidRPr="00387B60">
        <w:rPr>
          <w:rFonts w:ascii="Calibri" w:eastAsia="Times New Roman" w:hAnsi="Calibri" w:cstheme="majorHAnsi"/>
          <w:b/>
          <w:bCs/>
          <w:sz w:val="24"/>
          <w:szCs w:val="24"/>
          <w:lang w:eastAsia="it-IT"/>
        </w:rPr>
        <w:lastRenderedPageBreak/>
        <w:t>Ambito E – Qualità della ricerca e della terza missione/impatto sociale</w:t>
      </w:r>
    </w:p>
    <w:p w14:paraId="36B4694F" w14:textId="77777777" w:rsidR="00387B60" w:rsidRPr="00387B60" w:rsidRDefault="00387B60" w:rsidP="00387B60">
      <w:pPr>
        <w:ind w:right="30"/>
        <w:jc w:val="both"/>
        <w:rPr>
          <w:rFonts w:asciiTheme="majorHAnsi" w:eastAsia="Times New Roman" w:hAnsiTheme="majorHAnsi" w:cstheme="majorHAnsi"/>
          <w:lang w:eastAsia="it-IT"/>
        </w:rPr>
      </w:pPr>
      <w:r w:rsidRPr="00387B60">
        <w:rPr>
          <w:rFonts w:asciiTheme="majorHAnsi" w:eastAsia="Times New Roman" w:hAnsiTheme="majorHAnsi" w:cstheme="majorHAnsi"/>
          <w:lang w:eastAsia="it-IT"/>
        </w:rPr>
        <w:t>In questo ambito si valuta la capacità dell’Ateneo di avere una chiara visione complessiva delle modalità con le quali i Dipartimenti (o strutture analoghe) definiscono proprie linee strategiche, con particolare riferimento alla ricerca e alla terza missione/impatto sociale, in coerenza con le linee strategiche dell’Ateneo, si dotano di un sistema di pianificazione, monitoraggio e valutazione dei processi, dei risultati conseguiti e delle azioni di miglioramento. Si valutano anche la definizione e pubblicizzazione dei criteri di utilizzo delle risorse a livello dipartimentale coerentemente con il programma strategico del Dipartimento e con le linee di indirizzo dell’Ateneo. Si analizza anche il sistema di gestione delle risorse e dei servizi a supporto della ricerca e della terza missione.</w:t>
      </w:r>
    </w:p>
    <w:p w14:paraId="4238B9D1" w14:textId="77777777" w:rsidR="00387B60" w:rsidRPr="00387B60" w:rsidRDefault="00387B60" w:rsidP="00387B60">
      <w:pPr>
        <w:keepNext/>
        <w:keepLines/>
        <w:spacing w:before="240" w:after="120"/>
        <w:ind w:firstLine="284"/>
        <w:jc w:val="both"/>
        <w:outlineLvl w:val="2"/>
        <w:rPr>
          <w:rFonts w:asciiTheme="majorHAnsi" w:eastAsiaTheme="majorEastAsia" w:hAnsiTheme="majorHAnsi" w:cstheme="majorHAnsi"/>
          <w:b/>
          <w:szCs w:val="24"/>
          <w:lang w:eastAsia="it-IT"/>
        </w:rPr>
      </w:pPr>
      <w:bookmarkStart w:id="33" w:name="_Toc169793597"/>
      <w:r w:rsidRPr="00387B60">
        <w:rPr>
          <w:rFonts w:asciiTheme="majorHAnsi" w:eastAsiaTheme="majorEastAsia" w:hAnsiTheme="majorHAnsi" w:cstheme="majorHAnsi"/>
          <w:b/>
          <w:i/>
          <w:szCs w:val="24"/>
          <w:lang w:eastAsia="it-IT"/>
        </w:rPr>
        <w:t>PdA</w:t>
      </w:r>
      <w:r w:rsidRPr="00387B60">
        <w:rPr>
          <w:rFonts w:asciiTheme="majorHAnsi" w:eastAsiaTheme="majorEastAsia" w:hAnsiTheme="majorHAnsi" w:cstheme="majorHAnsi"/>
          <w:b/>
          <w:szCs w:val="24"/>
          <w:lang w:eastAsia="it-IT"/>
        </w:rPr>
        <w:t xml:space="preserve"> E.1 Definizione delle linee strategiche dei Dipartimenti</w:t>
      </w:r>
      <w:bookmarkEnd w:id="33"/>
    </w:p>
    <w:p w14:paraId="153D50A8" w14:textId="77777777" w:rsidR="00387B60" w:rsidRPr="00387B60" w:rsidRDefault="00387B60" w:rsidP="00387B60">
      <w:pPr>
        <w:ind w:firstLine="360"/>
        <w:rPr>
          <w:rFonts w:ascii="Calibri" w:eastAsia="Times New Roman" w:hAnsi="Calibri" w:cstheme="majorHAnsi"/>
          <w:b/>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r w:rsidRPr="00387B60">
        <w:rPr>
          <w:rFonts w:ascii="Calibri" w:eastAsia="Times New Roman" w:hAnsi="Calibri" w:cstheme="majorHAnsi"/>
          <w:b/>
          <w:lang w:eastAsia="it-IT"/>
        </w:rPr>
        <w:t>:</w:t>
      </w:r>
    </w:p>
    <w:p w14:paraId="6C4C0CAD"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E.1.1</w:t>
      </w:r>
      <w:r w:rsidRPr="00387B60">
        <w:rPr>
          <w:rFonts w:asciiTheme="majorHAnsi" w:eastAsia="Times New Roman" w:hAnsiTheme="majorHAnsi" w:cstheme="majorHAnsi"/>
          <w:sz w:val="20"/>
          <w:szCs w:val="20"/>
          <w:lang w:eastAsia="it-IT"/>
        </w:rPr>
        <w:t xml:space="preserve"> </w:t>
      </w:r>
      <w:r w:rsidRPr="00387B60">
        <w:rPr>
          <w:rFonts w:asciiTheme="majorHAnsi" w:eastAsia="Times New Roman" w:hAnsiTheme="majorHAnsi" w:cstheme="majorHAnsi"/>
          <w:i/>
          <w:sz w:val="20"/>
          <w:szCs w:val="20"/>
          <w:lang w:eastAsia="it-IT"/>
        </w:rPr>
        <w:t>L’Ateneo ha una visione complessiva delle modalità con cui i Dipartimenti hanno definito una propria strategia sulla ricerca e le ricadute nel contesto territoriale e sociale di riferimento (terza missione/impatto sociale) coerentemente con le politiche e le strategie di Ateneo, con un programma complessivo e obiettivi specifici definiti in base alle loro potenzialità e al loro progetto culturale.</w:t>
      </w:r>
    </w:p>
    <w:p w14:paraId="3C8F4C46"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E.1.2 Gli obiettivi dipartimentali di ricerca e terza missione/impatto sociale sono plausibili e coerenti con la visione, le politiche e le strategie proprie e dell’Ateneo e tengono anche conto dei risultati conseguiti nei cicli di pianificazione precedenti, dei risultati della VQR, degli indicatori di produttività scientifica dell’ASN, del reclutamento e di eventuali altre iniziative di valutazione della ricerca e della terza missione/impatto sociale attuate a livello locale.</w:t>
      </w:r>
    </w:p>
    <w:p w14:paraId="606DE3FB"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E.1.3 L’Ateneo si accerta che i Dipartimenti dispongano di un’organizzazione e di un sistema di monitoraggio funzionali alla realizzazione della strategia dipartimentale.</w:t>
      </w:r>
    </w:p>
    <w:p w14:paraId="72D00A1E" w14:textId="77777777" w:rsidR="00387B60" w:rsidRPr="00387B60" w:rsidRDefault="00387B60" w:rsidP="009862B3">
      <w:pPr>
        <w:spacing w:after="120" w:line="240" w:lineRule="auto"/>
        <w:ind w:left="714"/>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tutti gli Aspetti da considerare di questo Punto di Attenzione si basa anche sulla valutazione dei corrispondenti Aspetti da considerare del Punto di Attenzione E.DIP.1 dei Dipartimenti oggetto di visita].</w:t>
      </w:r>
    </w:p>
    <w:tbl>
      <w:tblPr>
        <w:tblStyle w:val="Grigliatabella"/>
        <w:tblW w:w="9639" w:type="dxa"/>
        <w:tblInd w:w="-5" w:type="dxa"/>
        <w:tblLook w:val="04A0" w:firstRow="1" w:lastRow="0" w:firstColumn="1" w:lastColumn="0" w:noHBand="0" w:noVBand="1"/>
      </w:tblPr>
      <w:tblGrid>
        <w:gridCol w:w="9639"/>
      </w:tblGrid>
      <w:tr w:rsidR="00387B60" w:rsidRPr="00387B60" w14:paraId="7C7BF0DB" w14:textId="77777777" w:rsidTr="0075363B">
        <w:tc>
          <w:tcPr>
            <w:tcW w:w="9639" w:type="dxa"/>
            <w:shd w:val="clear" w:color="auto" w:fill="auto"/>
          </w:tcPr>
          <w:p w14:paraId="32211D5B"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3B6FFAA9"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p w14:paraId="51EFEDA0"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1EEA3498" w14:textId="77777777" w:rsidTr="0075363B">
        <w:tc>
          <w:tcPr>
            <w:tcW w:w="9639" w:type="dxa"/>
            <w:shd w:val="clear" w:color="auto" w:fill="auto"/>
          </w:tcPr>
          <w:p w14:paraId="39D40AAE"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16AA7846"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24D4DEB6"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1570B852"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205BF137"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02419324"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28B67C7C"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7BD2618F"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50F5AADA"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7BA8496E"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0215F1CF"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19F06D03" w14:textId="77777777" w:rsidR="00387B60" w:rsidRPr="00387B60" w:rsidRDefault="00387B60" w:rsidP="00387B60">
      <w:pPr>
        <w:keepNext/>
        <w:keepLines/>
        <w:spacing w:before="240" w:after="120"/>
        <w:ind w:firstLine="284"/>
        <w:jc w:val="both"/>
        <w:outlineLvl w:val="2"/>
        <w:rPr>
          <w:rFonts w:asciiTheme="majorHAnsi" w:eastAsiaTheme="majorEastAsia" w:hAnsiTheme="majorHAnsi" w:cstheme="majorHAnsi"/>
          <w:b/>
          <w:szCs w:val="24"/>
          <w:lang w:eastAsia="it-IT"/>
        </w:rPr>
      </w:pPr>
      <w:bookmarkStart w:id="34" w:name="_Toc169793598"/>
      <w:r w:rsidRPr="00387B60">
        <w:rPr>
          <w:rFonts w:asciiTheme="majorHAnsi" w:eastAsiaTheme="majorEastAsia" w:hAnsiTheme="majorHAnsi" w:cstheme="majorHAnsi"/>
          <w:b/>
          <w:i/>
          <w:szCs w:val="24"/>
          <w:lang w:eastAsia="it-IT"/>
        </w:rPr>
        <w:lastRenderedPageBreak/>
        <w:t>PdA</w:t>
      </w:r>
      <w:r w:rsidRPr="00387B60">
        <w:rPr>
          <w:rFonts w:asciiTheme="majorHAnsi" w:eastAsiaTheme="majorEastAsia" w:hAnsiTheme="majorHAnsi" w:cstheme="majorHAnsi"/>
          <w:b/>
          <w:szCs w:val="24"/>
          <w:lang w:eastAsia="it-IT"/>
        </w:rPr>
        <w:t xml:space="preserve"> E.2 Valutazione dei risultati conseguiti dai Dipartimenti e dai Dottorati di Ricerca e delle azioni di miglioramento</w:t>
      </w:r>
      <w:bookmarkEnd w:id="34"/>
    </w:p>
    <w:p w14:paraId="3792C2A3" w14:textId="77777777" w:rsidR="00387B60" w:rsidRPr="00387B60" w:rsidRDefault="00387B60" w:rsidP="00387B60">
      <w:pPr>
        <w:ind w:firstLine="284"/>
        <w:rPr>
          <w:rFonts w:ascii="Calibri" w:eastAsia="Times New Roman" w:hAnsi="Calibri" w:cs="Times New Roman"/>
          <w:b/>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r w:rsidRPr="00387B60">
        <w:rPr>
          <w:rFonts w:ascii="Calibri" w:eastAsia="Times New Roman" w:hAnsi="Calibri" w:cs="Times New Roman"/>
          <w:b/>
          <w:lang w:eastAsia="it-IT"/>
        </w:rPr>
        <w:t>:</w:t>
      </w:r>
    </w:p>
    <w:p w14:paraId="1441CA0C"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E.2.1 L’Ateneo si accerta che i Dipartimenti, a supporto del riesame delle attività di pianificazione, analizzino periodicamente gli esiti del monitoraggio delle proprie attività di ricerca e terza missione/impatto sociale, con riferimento ai risultati conseguiti e agli eventuali problemi e alle loro cause.</w:t>
      </w:r>
    </w:p>
    <w:p w14:paraId="3AF0F83D"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E.2.2</w:t>
      </w:r>
      <w:r w:rsidRPr="00387B60">
        <w:rPr>
          <w:rFonts w:asciiTheme="majorHAnsi" w:eastAsia="Times New Roman" w:hAnsiTheme="majorHAnsi" w:cstheme="majorHAnsi"/>
          <w:sz w:val="20"/>
          <w:szCs w:val="20"/>
          <w:lang w:eastAsia="it-IT"/>
        </w:rPr>
        <w:t xml:space="preserve"> </w:t>
      </w:r>
      <w:r w:rsidRPr="00387B60">
        <w:rPr>
          <w:rFonts w:asciiTheme="majorHAnsi" w:eastAsia="Times New Roman" w:hAnsiTheme="majorHAnsi" w:cstheme="majorHAnsi"/>
          <w:i/>
          <w:sz w:val="20"/>
          <w:szCs w:val="20"/>
          <w:lang w:eastAsia="it-IT"/>
        </w:rPr>
        <w:t>L’Ateneo ha una visione complessiva e costantemente aggiornata dei risultati dei Corsi di Dottorato di Ricerca.</w:t>
      </w:r>
    </w:p>
    <w:p w14:paraId="497019BF"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E.2.3 L’Ateneo si accerta che le azioni di miglioramento predisposte dai Dipartimenti siano plausibili e realizzabili, vengano sistematicamente attuate e monitorate per valutarne l’efficacia.</w:t>
      </w:r>
    </w:p>
    <w:p w14:paraId="6C988934" w14:textId="77777777" w:rsidR="00387B60" w:rsidRPr="00387B60" w:rsidRDefault="00387B60" w:rsidP="009862B3">
      <w:pPr>
        <w:spacing w:after="120" w:line="240" w:lineRule="auto"/>
        <w:ind w:left="714"/>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tutti gli Aspetti da considerare di questo Punto di Attenzione si basa anche sulla valutazione dei corrispondenti Aspetti da considerare dei Punti di Attenzione E.DIP.2 dei Dipartimenti oggetto di visita].</w:t>
      </w:r>
    </w:p>
    <w:tbl>
      <w:tblPr>
        <w:tblStyle w:val="Grigliatabella"/>
        <w:tblW w:w="9639" w:type="dxa"/>
        <w:tblInd w:w="-5" w:type="dxa"/>
        <w:tblLook w:val="04A0" w:firstRow="1" w:lastRow="0" w:firstColumn="1" w:lastColumn="0" w:noHBand="0" w:noVBand="1"/>
      </w:tblPr>
      <w:tblGrid>
        <w:gridCol w:w="9639"/>
      </w:tblGrid>
      <w:tr w:rsidR="00387B60" w:rsidRPr="00387B60" w14:paraId="3087CE38" w14:textId="77777777" w:rsidTr="0075363B">
        <w:tc>
          <w:tcPr>
            <w:tcW w:w="9639" w:type="dxa"/>
            <w:shd w:val="clear" w:color="auto" w:fill="auto"/>
          </w:tcPr>
          <w:p w14:paraId="32D48168"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Autovalutazione (non più di 2.000 parole)</w:t>
            </w:r>
          </w:p>
          <w:p w14:paraId="1D7553D1"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p w14:paraId="391D3505"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0FABD38E" w14:textId="77777777" w:rsidTr="0075363B">
        <w:tc>
          <w:tcPr>
            <w:tcW w:w="9639" w:type="dxa"/>
            <w:shd w:val="clear" w:color="auto" w:fill="auto"/>
          </w:tcPr>
          <w:p w14:paraId="64FF062B"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269C98EF"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60A3BF38"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04EBC29B"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63956011"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74934902"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5164D3F4"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242405CB"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14FF0189"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15EA8E82"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6269CB5F"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4DDFB278" w14:textId="77777777" w:rsidR="00387B60" w:rsidRPr="00387B60" w:rsidRDefault="00387B60" w:rsidP="00387B60">
      <w:pPr>
        <w:keepNext/>
        <w:keepLines/>
        <w:spacing w:before="360" w:after="120"/>
        <w:ind w:firstLine="284"/>
        <w:outlineLvl w:val="2"/>
        <w:rPr>
          <w:rFonts w:asciiTheme="majorHAnsi" w:eastAsiaTheme="majorEastAsia" w:hAnsiTheme="majorHAnsi" w:cstheme="majorHAnsi"/>
          <w:b/>
          <w:szCs w:val="24"/>
          <w:lang w:eastAsia="it-IT"/>
        </w:rPr>
      </w:pPr>
      <w:bookmarkStart w:id="35" w:name="_Toc169793599"/>
      <w:r w:rsidRPr="00387B60">
        <w:rPr>
          <w:rFonts w:asciiTheme="majorHAnsi" w:eastAsiaTheme="majorEastAsia" w:hAnsiTheme="majorHAnsi" w:cstheme="majorHAnsi"/>
          <w:b/>
          <w:i/>
          <w:szCs w:val="24"/>
          <w:lang w:eastAsia="it-IT"/>
        </w:rPr>
        <w:t>PdA</w:t>
      </w:r>
      <w:r w:rsidRPr="00387B60">
        <w:rPr>
          <w:rFonts w:asciiTheme="majorHAnsi" w:eastAsiaTheme="majorEastAsia" w:hAnsiTheme="majorHAnsi" w:cstheme="majorHAnsi"/>
          <w:b/>
          <w:szCs w:val="24"/>
          <w:lang w:eastAsia="it-IT"/>
        </w:rPr>
        <w:t xml:space="preserve"> E.3</w:t>
      </w:r>
      <w:r w:rsidRPr="00387B60">
        <w:rPr>
          <w:rFonts w:asciiTheme="majorHAnsi" w:eastAsiaTheme="majorEastAsia" w:hAnsiTheme="majorHAnsi" w:cstheme="majorHAnsi"/>
          <w:b/>
          <w:i/>
          <w:iCs/>
          <w:szCs w:val="24"/>
          <w:lang w:eastAsia="it-IT"/>
        </w:rPr>
        <w:t xml:space="preserve"> </w:t>
      </w:r>
      <w:r w:rsidRPr="00387B60">
        <w:rPr>
          <w:rFonts w:asciiTheme="majorHAnsi" w:eastAsiaTheme="majorEastAsia" w:hAnsiTheme="majorHAnsi" w:cstheme="majorHAnsi"/>
          <w:b/>
          <w:szCs w:val="24"/>
          <w:lang w:eastAsia="it-IT"/>
        </w:rPr>
        <w:t>Definizione e pubblicizzazione dei criteri di distribuzione delle risorse</w:t>
      </w:r>
      <w:bookmarkEnd w:id="35"/>
    </w:p>
    <w:p w14:paraId="19CE952A" w14:textId="77777777" w:rsidR="00387B60" w:rsidRPr="00387B60" w:rsidRDefault="00387B60" w:rsidP="00387B60">
      <w:pPr>
        <w:ind w:firstLine="426"/>
        <w:rPr>
          <w:rFonts w:ascii="Calibri" w:eastAsia="Times New Roman" w:hAnsi="Calibri" w:cs="Times New Roman"/>
          <w:b/>
          <w:lang w:eastAsia="it-IT"/>
        </w:rPr>
      </w:pPr>
      <w:r w:rsidRPr="00387B60">
        <w:rPr>
          <w:rFonts w:ascii="Calibri" w:eastAsia="Times New Roman" w:hAnsi="Calibri" w:cs="Times New Roman"/>
          <w:b/>
          <w:i/>
          <w:sz w:val="20"/>
          <w:szCs w:val="20"/>
          <w:lang w:eastAsia="it-IT"/>
        </w:rPr>
        <w:t>AdC</w:t>
      </w:r>
      <w:r w:rsidRPr="00387B60">
        <w:rPr>
          <w:rFonts w:ascii="Calibri" w:eastAsia="Times New Roman" w:hAnsi="Calibri" w:cs="Times New Roman"/>
          <w:b/>
          <w:sz w:val="20"/>
          <w:szCs w:val="20"/>
          <w:lang w:eastAsia="it-IT"/>
        </w:rPr>
        <w:t xml:space="preserve"> che vanno affrontati nell’Autovalutazione</w:t>
      </w:r>
      <w:r w:rsidRPr="00387B60">
        <w:rPr>
          <w:rFonts w:ascii="Calibri" w:eastAsia="Times New Roman" w:hAnsi="Calibri" w:cs="Times New Roman"/>
          <w:b/>
          <w:lang w:eastAsia="it-IT"/>
        </w:rPr>
        <w:t>:</w:t>
      </w:r>
    </w:p>
    <w:p w14:paraId="253D317E"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E.3.1 L’Ateneo si accerta che i Dipartimenti e i Corsi di Dottorato di Ricerca definiscano con chiarezza e trasparenza i criteri e le modalità di distribuzione interna delle risorse (economiche, sia per i Dipartimenti e i Dottorati, e di personale per i Dipartimenti) assegnate a sostegno della ricerca (anche dottorale) e della terza missione/impatto sociale, coerentemente con il programma strategico proprio e dell'Ateneo e con le indicazioni dell’Ateneo sull’utilizzazione delle risorse assegnate.</w:t>
      </w:r>
    </w:p>
    <w:p w14:paraId="37A08252" w14:textId="77777777" w:rsidR="00387B60" w:rsidRPr="00387B60" w:rsidRDefault="00387B60" w:rsidP="00692E38">
      <w:pPr>
        <w:spacing w:after="0" w:line="240" w:lineRule="auto"/>
        <w:ind w:left="720"/>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dell’Aspetto da Considerare D.PHD.2.4 dei Corsi di Dottorato di Ricerca oggetto di visita].</w:t>
      </w:r>
    </w:p>
    <w:p w14:paraId="23B44B93" w14:textId="77777777" w:rsidR="00387B60" w:rsidRPr="00387B60" w:rsidRDefault="00387B60" w:rsidP="00387B60">
      <w:pPr>
        <w:numPr>
          <w:ilvl w:val="0"/>
          <w:numId w:val="7"/>
        </w:numPr>
        <w:spacing w:after="0" w:line="240" w:lineRule="auto"/>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 xml:space="preserve">E.3.2 L’Ateneo si accerta che i Dipartimenti definiscano con chiarezza e trasparenza i criteri di distribuzione di eventuali incentivi e premialità per il personale docente, di ricerca e  tecnico-amministrativo, in coerenza con le linee strategiche dell’Ateneo, le indicazioni specifiche della pianificazione, gli indicatori di produttività scientifica dell’ASN, del reclutamento e di eventuali altre iniziative di valutazione della ricerca, della terza missione/impatto sociale, delle attività istituzionali e gestionali dell'Ateneo. </w:t>
      </w:r>
    </w:p>
    <w:p w14:paraId="56C3FA54" w14:textId="77777777" w:rsidR="00387B60" w:rsidRPr="00387B60" w:rsidRDefault="00387B60" w:rsidP="00692E38">
      <w:pPr>
        <w:spacing w:after="120" w:line="240" w:lineRule="auto"/>
        <w:ind w:left="714"/>
        <w:contextualSpacing/>
        <w:jc w:val="both"/>
        <w:rPr>
          <w:rFonts w:asciiTheme="majorHAnsi" w:eastAsia="Times New Roman" w:hAnsiTheme="majorHAnsi" w:cstheme="majorHAnsi"/>
          <w:i/>
          <w:sz w:val="20"/>
          <w:szCs w:val="20"/>
          <w:lang w:eastAsia="it-IT"/>
        </w:rPr>
      </w:pPr>
      <w:r w:rsidRPr="00387B60">
        <w:rPr>
          <w:rFonts w:asciiTheme="majorHAnsi" w:eastAsia="Times New Roman" w:hAnsiTheme="majorHAnsi" w:cstheme="majorHAnsi"/>
          <w:i/>
          <w:sz w:val="20"/>
          <w:szCs w:val="20"/>
          <w:lang w:eastAsia="it-IT"/>
        </w:rPr>
        <w:t>[La valutazione di questo Aspetto da Considerare si basa anche sulla valutazione dei corrispondenti Aspetti da considerare del Punto di Attenzione E.DIP.3 dei Dipartimenti oggetto di visita].</w:t>
      </w:r>
    </w:p>
    <w:tbl>
      <w:tblPr>
        <w:tblStyle w:val="Grigliatabella"/>
        <w:tblW w:w="9639" w:type="dxa"/>
        <w:tblInd w:w="-5" w:type="dxa"/>
        <w:tblLook w:val="04A0" w:firstRow="1" w:lastRow="0" w:firstColumn="1" w:lastColumn="0" w:noHBand="0" w:noVBand="1"/>
      </w:tblPr>
      <w:tblGrid>
        <w:gridCol w:w="9639"/>
      </w:tblGrid>
      <w:tr w:rsidR="00387B60" w:rsidRPr="00387B60" w14:paraId="3C41E29B" w14:textId="77777777" w:rsidTr="0075363B">
        <w:tc>
          <w:tcPr>
            <w:tcW w:w="9639" w:type="dxa"/>
            <w:shd w:val="clear" w:color="auto" w:fill="auto"/>
          </w:tcPr>
          <w:p w14:paraId="37673DA3"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lastRenderedPageBreak/>
              <w:t>Autovalutazione (non più di 2.000 parole)</w:t>
            </w:r>
          </w:p>
          <w:p w14:paraId="0EB456E2"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p w14:paraId="3775C636"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w:t>
            </w:r>
          </w:p>
        </w:tc>
      </w:tr>
      <w:tr w:rsidR="00387B60" w:rsidRPr="00387B60" w14:paraId="1E1079E3" w14:textId="77777777" w:rsidTr="0075363B">
        <w:tc>
          <w:tcPr>
            <w:tcW w:w="9639" w:type="dxa"/>
            <w:shd w:val="clear" w:color="auto" w:fill="auto"/>
          </w:tcPr>
          <w:p w14:paraId="469F17BE"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Fonti documentali indicate dall'Ateneo per l'esame a distanza (non più di 16 documenti):</w:t>
            </w:r>
          </w:p>
          <w:p w14:paraId="605EC025" w14:textId="77777777" w:rsidR="00387B60" w:rsidRPr="00387B60" w:rsidRDefault="00387B60" w:rsidP="00DC4840">
            <w:pPr>
              <w:spacing w:before="120" w:after="120"/>
              <w:ind w:right="141"/>
              <w:rPr>
                <w:rFonts w:asciiTheme="majorHAnsi" w:hAnsiTheme="majorHAnsi" w:cstheme="majorHAnsi"/>
                <w:b/>
                <w:bCs/>
              </w:rPr>
            </w:pPr>
            <w:r w:rsidRPr="00387B60">
              <w:rPr>
                <w:rFonts w:asciiTheme="majorHAnsi" w:hAnsiTheme="majorHAnsi" w:cstheme="majorHAnsi"/>
                <w:b/>
                <w:bCs/>
              </w:rPr>
              <w:t>Documenti chiave:</w:t>
            </w:r>
          </w:p>
          <w:p w14:paraId="2DFE2967"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0A8725B8"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7DBEBA63"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19017129"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p w14:paraId="675EFBD9" w14:textId="77777777" w:rsidR="00387B60" w:rsidRPr="00387B60" w:rsidRDefault="00387B60" w:rsidP="00387B60">
            <w:pPr>
              <w:ind w:right="141"/>
              <w:rPr>
                <w:rFonts w:asciiTheme="majorHAnsi" w:hAnsiTheme="majorHAnsi" w:cstheme="majorHAnsi"/>
                <w:b/>
                <w:color w:val="222222"/>
                <w:sz w:val="19"/>
                <w:szCs w:val="19"/>
              </w:rPr>
            </w:pPr>
            <w:r w:rsidRPr="00387B60">
              <w:rPr>
                <w:rFonts w:asciiTheme="majorHAnsi" w:hAnsiTheme="majorHAnsi" w:cstheme="majorHAnsi"/>
                <w:b/>
              </w:rPr>
              <w:t>Documenti a supporto:</w:t>
            </w:r>
          </w:p>
          <w:p w14:paraId="41F09863" w14:textId="77777777" w:rsidR="00387B60" w:rsidRPr="00387B60" w:rsidRDefault="00387B60" w:rsidP="00387B60">
            <w:pPr>
              <w:numPr>
                <w:ilvl w:val="0"/>
                <w:numId w:val="7"/>
              </w:numPr>
              <w:spacing w:before="120" w:after="120"/>
              <w:ind w:right="141"/>
              <w:rPr>
                <w:rFonts w:asciiTheme="majorHAnsi" w:hAnsiTheme="majorHAnsi" w:cstheme="majorHAnsi"/>
                <w:bCs/>
              </w:rPr>
            </w:pPr>
            <w:r w:rsidRPr="00387B60">
              <w:rPr>
                <w:rFonts w:asciiTheme="majorHAnsi" w:hAnsiTheme="majorHAnsi" w:cstheme="majorHAnsi"/>
                <w:bCs/>
              </w:rPr>
              <w:t>Titolo:</w:t>
            </w:r>
          </w:p>
          <w:p w14:paraId="4612DEAA"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Breve Descrizione:</w:t>
            </w:r>
          </w:p>
          <w:p w14:paraId="5CF4EB49"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Riferimento (capitolo/paragrafo, etc.):</w:t>
            </w:r>
          </w:p>
          <w:p w14:paraId="3AF32CF5" w14:textId="77777777" w:rsidR="00387B60" w:rsidRPr="00387B60" w:rsidRDefault="00387B60" w:rsidP="00DC4840">
            <w:pPr>
              <w:spacing w:before="120" w:after="120"/>
              <w:ind w:left="720" w:right="141"/>
              <w:rPr>
                <w:rFonts w:asciiTheme="majorHAnsi" w:hAnsiTheme="majorHAnsi" w:cstheme="majorHAnsi"/>
                <w:bCs/>
              </w:rPr>
            </w:pPr>
            <w:r w:rsidRPr="00387B60">
              <w:rPr>
                <w:rFonts w:asciiTheme="majorHAnsi" w:hAnsiTheme="majorHAnsi" w:cstheme="majorHAnsi"/>
                <w:bCs/>
              </w:rPr>
              <w:t>Upload / Link del documento:</w:t>
            </w:r>
          </w:p>
        </w:tc>
      </w:tr>
    </w:tbl>
    <w:p w14:paraId="7920CCDB" w14:textId="77777777" w:rsidR="00387B60" w:rsidRPr="00387B60" w:rsidRDefault="00387B60" w:rsidP="00387B60">
      <w:pPr>
        <w:pBdr>
          <w:top w:val="single" w:sz="4" w:space="0" w:color="auto"/>
          <w:left w:val="single" w:sz="4" w:space="4" w:color="auto"/>
          <w:bottom w:val="single" w:sz="4" w:space="1" w:color="auto"/>
          <w:right w:val="single" w:sz="4" w:space="4" w:color="auto"/>
        </w:pBdr>
        <w:spacing w:before="120"/>
        <w:ind w:right="141"/>
        <w:jc w:val="both"/>
        <w:rPr>
          <w:rFonts w:asciiTheme="majorHAnsi" w:eastAsia="Times New Roman" w:hAnsiTheme="majorHAnsi" w:cstheme="majorHAnsi"/>
          <w:b/>
          <w:bCs/>
          <w:sz w:val="20"/>
          <w:szCs w:val="20"/>
          <w:lang w:eastAsia="it-IT"/>
        </w:rPr>
      </w:pPr>
    </w:p>
    <w:p w14:paraId="7A5FF420" w14:textId="77777777" w:rsidR="00463F3C" w:rsidRDefault="00463F3C" w:rsidP="00387B60">
      <w:pPr>
        <w:keepNext/>
        <w:keepLines/>
        <w:spacing w:before="360" w:after="0"/>
        <w:outlineLvl w:val="0"/>
      </w:pPr>
    </w:p>
    <w:sectPr w:rsidR="00463F3C">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30B0B" w14:textId="77777777" w:rsidR="00596994" w:rsidRDefault="00596994" w:rsidP="000A093F">
      <w:pPr>
        <w:spacing w:after="0" w:line="240" w:lineRule="auto"/>
      </w:pPr>
      <w:r>
        <w:separator/>
      </w:r>
    </w:p>
  </w:endnote>
  <w:endnote w:type="continuationSeparator" w:id="0">
    <w:p w14:paraId="1C611A9F" w14:textId="77777777" w:rsidR="00596994" w:rsidRDefault="00596994" w:rsidP="000A0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F235F0" w14:textId="77777777" w:rsidR="00596994" w:rsidRDefault="00596994" w:rsidP="000A093F">
      <w:pPr>
        <w:spacing w:after="0" w:line="240" w:lineRule="auto"/>
      </w:pPr>
      <w:r>
        <w:separator/>
      </w:r>
    </w:p>
  </w:footnote>
  <w:footnote w:type="continuationSeparator" w:id="0">
    <w:p w14:paraId="736D92A2" w14:textId="77777777" w:rsidR="00596994" w:rsidRDefault="00596994" w:rsidP="000A0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2732A" w14:textId="77777777" w:rsidR="00596994" w:rsidRDefault="00596994">
    <w:pPr>
      <w:pStyle w:val="Intestazione"/>
    </w:pPr>
    <w:r>
      <w:rPr>
        <w:noProof/>
      </w:rPr>
      <w:drawing>
        <wp:inline distT="0" distB="0" distL="0" distR="0" wp14:anchorId="27A9525C" wp14:editId="25C94B78">
          <wp:extent cx="1801025" cy="558000"/>
          <wp:effectExtent l="0" t="0" r="0" b="0"/>
          <wp:docPr id="13" name="image1.jpg" descr="Marchio dell'Università di Trento, composto da un sigillo e da un logotipo (o scritta) &quot;Università di Trento&quot;"/>
          <wp:cNvGraphicFramePr/>
          <a:graphic xmlns:a="http://schemas.openxmlformats.org/drawingml/2006/main">
            <a:graphicData uri="http://schemas.openxmlformats.org/drawingml/2006/picture">
              <pic:pic xmlns:pic="http://schemas.openxmlformats.org/drawingml/2006/picture">
                <pic:nvPicPr>
                  <pic:cNvPr id="0" name="image1.jpg" descr="Marchio dell'Università di Trento, composto da un sigillo e da un logotipo (o scritta) &quot;Università di Trento&quot;"/>
                  <pic:cNvPicPr preferRelativeResize="0"/>
                </pic:nvPicPr>
                <pic:blipFill>
                  <a:blip r:embed="rId1"/>
                  <a:srcRect/>
                  <a:stretch>
                    <a:fillRect/>
                  </a:stretch>
                </pic:blipFill>
                <pic:spPr>
                  <a:xfrm>
                    <a:off x="0" y="0"/>
                    <a:ext cx="1801025" cy="558000"/>
                  </a:xfrm>
                  <a:prstGeom prst="rect">
                    <a:avLst/>
                  </a:prstGeom>
                  <a:ln/>
                </pic:spPr>
              </pic:pic>
            </a:graphicData>
          </a:graphic>
        </wp:inline>
      </w:drawing>
    </w:r>
  </w:p>
  <w:p w14:paraId="6168F8C2" w14:textId="77777777" w:rsidR="00596994" w:rsidRDefault="0059699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75B1"/>
    <w:multiLevelType w:val="hybridMultilevel"/>
    <w:tmpl w:val="F97ED8F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5F93E66"/>
    <w:multiLevelType w:val="hybridMultilevel"/>
    <w:tmpl w:val="187A6BC4"/>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2" w15:restartNumberingAfterBreak="0">
    <w:nsid w:val="07E50E80"/>
    <w:multiLevelType w:val="hybridMultilevel"/>
    <w:tmpl w:val="F81C10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39519E"/>
    <w:multiLevelType w:val="hybridMultilevel"/>
    <w:tmpl w:val="F1F6180C"/>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B8B54BB"/>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0A560F"/>
    <w:multiLevelType w:val="hybridMultilevel"/>
    <w:tmpl w:val="A38CC8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5532178"/>
    <w:multiLevelType w:val="hybridMultilevel"/>
    <w:tmpl w:val="70063758"/>
    <w:lvl w:ilvl="0" w:tplc="A6EC414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770F4D"/>
    <w:multiLevelType w:val="hybridMultilevel"/>
    <w:tmpl w:val="644C2F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84E7885"/>
    <w:multiLevelType w:val="hybridMultilevel"/>
    <w:tmpl w:val="C2EE975C"/>
    <w:lvl w:ilvl="0" w:tplc="04100001">
      <w:start w:val="1"/>
      <w:numFmt w:val="bullet"/>
      <w:lvlText w:val=""/>
      <w:lvlJc w:val="left"/>
      <w:pPr>
        <w:ind w:left="764" w:hanging="360"/>
      </w:pPr>
      <w:rPr>
        <w:rFonts w:ascii="Symbol" w:hAnsi="Symbol" w:hint="default"/>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abstractNum w:abstractNumId="9" w15:restartNumberingAfterBreak="0">
    <w:nsid w:val="2B882C3E"/>
    <w:multiLevelType w:val="hybridMultilevel"/>
    <w:tmpl w:val="6F2C8F20"/>
    <w:lvl w:ilvl="0" w:tplc="B0E0FF9C">
      <w:start w:val="1"/>
      <w:numFmt w:val="bullet"/>
      <w:lvlText w:val=""/>
      <w:lvlJc w:val="left"/>
      <w:pPr>
        <w:ind w:left="1627" w:hanging="360"/>
      </w:pPr>
      <w:rPr>
        <w:rFonts w:ascii="Symbol" w:hAnsi="Symbol" w:hint="default"/>
        <w:color w:val="000000" w:themeColor="text1"/>
      </w:rPr>
    </w:lvl>
    <w:lvl w:ilvl="1" w:tplc="04100003" w:tentative="1">
      <w:start w:val="1"/>
      <w:numFmt w:val="bullet"/>
      <w:lvlText w:val="o"/>
      <w:lvlJc w:val="left"/>
      <w:pPr>
        <w:ind w:left="2347" w:hanging="360"/>
      </w:pPr>
      <w:rPr>
        <w:rFonts w:ascii="Courier New" w:hAnsi="Courier New" w:cs="Courier New" w:hint="default"/>
      </w:rPr>
    </w:lvl>
    <w:lvl w:ilvl="2" w:tplc="04100005" w:tentative="1">
      <w:start w:val="1"/>
      <w:numFmt w:val="bullet"/>
      <w:lvlText w:val=""/>
      <w:lvlJc w:val="left"/>
      <w:pPr>
        <w:ind w:left="3067" w:hanging="360"/>
      </w:pPr>
      <w:rPr>
        <w:rFonts w:ascii="Wingdings" w:hAnsi="Wingdings" w:hint="default"/>
      </w:rPr>
    </w:lvl>
    <w:lvl w:ilvl="3" w:tplc="04100001" w:tentative="1">
      <w:start w:val="1"/>
      <w:numFmt w:val="bullet"/>
      <w:lvlText w:val=""/>
      <w:lvlJc w:val="left"/>
      <w:pPr>
        <w:ind w:left="3787" w:hanging="360"/>
      </w:pPr>
      <w:rPr>
        <w:rFonts w:ascii="Symbol" w:hAnsi="Symbol" w:hint="default"/>
      </w:rPr>
    </w:lvl>
    <w:lvl w:ilvl="4" w:tplc="04100003" w:tentative="1">
      <w:start w:val="1"/>
      <w:numFmt w:val="bullet"/>
      <w:lvlText w:val="o"/>
      <w:lvlJc w:val="left"/>
      <w:pPr>
        <w:ind w:left="4507" w:hanging="360"/>
      </w:pPr>
      <w:rPr>
        <w:rFonts w:ascii="Courier New" w:hAnsi="Courier New" w:cs="Courier New" w:hint="default"/>
      </w:rPr>
    </w:lvl>
    <w:lvl w:ilvl="5" w:tplc="04100005" w:tentative="1">
      <w:start w:val="1"/>
      <w:numFmt w:val="bullet"/>
      <w:lvlText w:val=""/>
      <w:lvlJc w:val="left"/>
      <w:pPr>
        <w:ind w:left="5227" w:hanging="360"/>
      </w:pPr>
      <w:rPr>
        <w:rFonts w:ascii="Wingdings" w:hAnsi="Wingdings" w:hint="default"/>
      </w:rPr>
    </w:lvl>
    <w:lvl w:ilvl="6" w:tplc="04100001" w:tentative="1">
      <w:start w:val="1"/>
      <w:numFmt w:val="bullet"/>
      <w:lvlText w:val=""/>
      <w:lvlJc w:val="left"/>
      <w:pPr>
        <w:ind w:left="5947" w:hanging="360"/>
      </w:pPr>
      <w:rPr>
        <w:rFonts w:ascii="Symbol" w:hAnsi="Symbol" w:hint="default"/>
      </w:rPr>
    </w:lvl>
    <w:lvl w:ilvl="7" w:tplc="04100003" w:tentative="1">
      <w:start w:val="1"/>
      <w:numFmt w:val="bullet"/>
      <w:lvlText w:val="o"/>
      <w:lvlJc w:val="left"/>
      <w:pPr>
        <w:ind w:left="6667" w:hanging="360"/>
      </w:pPr>
      <w:rPr>
        <w:rFonts w:ascii="Courier New" w:hAnsi="Courier New" w:cs="Courier New" w:hint="default"/>
      </w:rPr>
    </w:lvl>
    <w:lvl w:ilvl="8" w:tplc="04100005" w:tentative="1">
      <w:start w:val="1"/>
      <w:numFmt w:val="bullet"/>
      <w:lvlText w:val=""/>
      <w:lvlJc w:val="left"/>
      <w:pPr>
        <w:ind w:left="7387" w:hanging="360"/>
      </w:pPr>
      <w:rPr>
        <w:rFonts w:ascii="Wingdings" w:hAnsi="Wingdings" w:hint="default"/>
      </w:rPr>
    </w:lvl>
  </w:abstractNum>
  <w:abstractNum w:abstractNumId="10" w15:restartNumberingAfterBreak="0">
    <w:nsid w:val="32983231"/>
    <w:multiLevelType w:val="hybridMultilevel"/>
    <w:tmpl w:val="AA2A8718"/>
    <w:lvl w:ilvl="0" w:tplc="234440CE">
      <w:start w:val="1"/>
      <w:numFmt w:val="decimal"/>
      <w:lvlText w:val="%1."/>
      <w:lvlJc w:val="left"/>
      <w:pPr>
        <w:ind w:left="720" w:hanging="360"/>
      </w:pPr>
      <w:rPr>
        <w:rFonts w:hint="default"/>
        <w:b w:val="0"/>
        <w:i w:val="0"/>
        <w:color w:val="000000" w:themeColor="text1"/>
      </w:rPr>
    </w:lvl>
    <w:lvl w:ilvl="1" w:tplc="B0E0FF9C">
      <w:start w:val="1"/>
      <w:numFmt w:val="bullet"/>
      <w:lvlText w:val=""/>
      <w:lvlJc w:val="left"/>
      <w:pPr>
        <w:ind w:left="1440" w:hanging="360"/>
      </w:pPr>
      <w:rPr>
        <w:rFonts w:ascii="Symbol" w:hAnsi="Symbol" w:hint="default"/>
        <w:color w:val="000000" w:themeColor="text1"/>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8C46B01"/>
    <w:multiLevelType w:val="hybridMultilevel"/>
    <w:tmpl w:val="DA00DBCC"/>
    <w:lvl w:ilvl="0" w:tplc="04100001">
      <w:start w:val="1"/>
      <w:numFmt w:val="bullet"/>
      <w:lvlText w:val=""/>
      <w:lvlJc w:val="left"/>
      <w:pPr>
        <w:ind w:left="720" w:hanging="360"/>
      </w:pPr>
      <w:rPr>
        <w:rFonts w:ascii="Symbol" w:hAnsi="Symbol" w:hint="default"/>
        <w:b w:val="0"/>
        <w:i w:val="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9DB36A6"/>
    <w:multiLevelType w:val="multilevel"/>
    <w:tmpl w:val="69C643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A1F7A43"/>
    <w:multiLevelType w:val="multilevel"/>
    <w:tmpl w:val="6CB6F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BE15904"/>
    <w:multiLevelType w:val="multilevel"/>
    <w:tmpl w:val="5A587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343992"/>
    <w:multiLevelType w:val="hybridMultilevel"/>
    <w:tmpl w:val="981849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6B365C6"/>
    <w:multiLevelType w:val="hybridMultilevel"/>
    <w:tmpl w:val="3796C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EF5237F"/>
    <w:multiLevelType w:val="hybridMultilevel"/>
    <w:tmpl w:val="8BEA1D42"/>
    <w:lvl w:ilvl="0" w:tplc="D2CED6B8">
      <w:start w:val="1"/>
      <w:numFmt w:val="bullet"/>
      <w:pStyle w:val="ANVURMGstileE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18" w15:restartNumberingAfterBreak="0">
    <w:nsid w:val="622A2925"/>
    <w:multiLevelType w:val="hybridMultilevel"/>
    <w:tmpl w:val="3BD268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28B3DD3"/>
    <w:multiLevelType w:val="hybridMultilevel"/>
    <w:tmpl w:val="74509E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49A382D"/>
    <w:multiLevelType w:val="hybridMultilevel"/>
    <w:tmpl w:val="BC3A6E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8BA0333"/>
    <w:multiLevelType w:val="hybridMultilevel"/>
    <w:tmpl w:val="CFB4CFCA"/>
    <w:lvl w:ilvl="0" w:tplc="258A8E70">
      <w:start w:val="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1D12643"/>
    <w:multiLevelType w:val="multilevel"/>
    <w:tmpl w:val="22A22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2E4733A"/>
    <w:multiLevelType w:val="hybridMultilevel"/>
    <w:tmpl w:val="7A405608"/>
    <w:lvl w:ilvl="0" w:tplc="258A8E70">
      <w:start w:val="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8F64D2D"/>
    <w:multiLevelType w:val="multilevel"/>
    <w:tmpl w:val="116A6E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9"/>
  </w:num>
  <w:num w:numId="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18"/>
  </w:num>
  <w:num w:numId="7">
    <w:abstractNumId w:val="11"/>
  </w:num>
  <w:num w:numId="8">
    <w:abstractNumId w:val="20"/>
  </w:num>
  <w:num w:numId="9">
    <w:abstractNumId w:val="3"/>
  </w:num>
  <w:num w:numId="10">
    <w:abstractNumId w:val="1"/>
  </w:num>
  <w:num w:numId="11">
    <w:abstractNumId w:val="8"/>
  </w:num>
  <w:num w:numId="12">
    <w:abstractNumId w:val="21"/>
  </w:num>
  <w:num w:numId="13">
    <w:abstractNumId w:val="19"/>
  </w:num>
  <w:num w:numId="14">
    <w:abstractNumId w:val="7"/>
  </w:num>
  <w:num w:numId="15">
    <w:abstractNumId w:val="4"/>
  </w:num>
  <w:num w:numId="16">
    <w:abstractNumId w:val="2"/>
  </w:num>
  <w:num w:numId="17">
    <w:abstractNumId w:val="5"/>
  </w:num>
  <w:num w:numId="18">
    <w:abstractNumId w:val="15"/>
  </w:num>
  <w:num w:numId="19">
    <w:abstractNumId w:val="6"/>
  </w:num>
  <w:num w:numId="20">
    <w:abstractNumId w:val="23"/>
  </w:num>
  <w:num w:numId="21">
    <w:abstractNumId w:val="12"/>
  </w:num>
  <w:num w:numId="22">
    <w:abstractNumId w:val="22"/>
  </w:num>
  <w:num w:numId="23">
    <w:abstractNumId w:val="14"/>
  </w:num>
  <w:num w:numId="24">
    <w:abstractNumId w:val="1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3C"/>
    <w:rsid w:val="0004072C"/>
    <w:rsid w:val="0006418D"/>
    <w:rsid w:val="000A093F"/>
    <w:rsid w:val="000E3F8E"/>
    <w:rsid w:val="000F5E99"/>
    <w:rsid w:val="00143949"/>
    <w:rsid w:val="001524A0"/>
    <w:rsid w:val="00155D71"/>
    <w:rsid w:val="00172300"/>
    <w:rsid w:val="001B51CB"/>
    <w:rsid w:val="00203806"/>
    <w:rsid w:val="002362E9"/>
    <w:rsid w:val="0027395B"/>
    <w:rsid w:val="002805F3"/>
    <w:rsid w:val="002C77A1"/>
    <w:rsid w:val="00311325"/>
    <w:rsid w:val="00352FAA"/>
    <w:rsid w:val="00383E3B"/>
    <w:rsid w:val="00387B60"/>
    <w:rsid w:val="003D40CA"/>
    <w:rsid w:val="00403CFB"/>
    <w:rsid w:val="00434028"/>
    <w:rsid w:val="004463FE"/>
    <w:rsid w:val="00463F3C"/>
    <w:rsid w:val="005512F3"/>
    <w:rsid w:val="00596994"/>
    <w:rsid w:val="00603D02"/>
    <w:rsid w:val="0060435F"/>
    <w:rsid w:val="00663268"/>
    <w:rsid w:val="0067154C"/>
    <w:rsid w:val="00692E38"/>
    <w:rsid w:val="0075363B"/>
    <w:rsid w:val="00775726"/>
    <w:rsid w:val="00792148"/>
    <w:rsid w:val="007D5A1C"/>
    <w:rsid w:val="008420A4"/>
    <w:rsid w:val="008648DE"/>
    <w:rsid w:val="008808E7"/>
    <w:rsid w:val="008B3738"/>
    <w:rsid w:val="008D132C"/>
    <w:rsid w:val="0097473E"/>
    <w:rsid w:val="009862B3"/>
    <w:rsid w:val="009D2069"/>
    <w:rsid w:val="009F056B"/>
    <w:rsid w:val="00A9229F"/>
    <w:rsid w:val="00B3535A"/>
    <w:rsid w:val="00B64F1A"/>
    <w:rsid w:val="00BD6028"/>
    <w:rsid w:val="00BF582A"/>
    <w:rsid w:val="00C10FD6"/>
    <w:rsid w:val="00CC4AE1"/>
    <w:rsid w:val="00CE6A32"/>
    <w:rsid w:val="00CF01B9"/>
    <w:rsid w:val="00DA2507"/>
    <w:rsid w:val="00DC4840"/>
    <w:rsid w:val="00DD6927"/>
    <w:rsid w:val="00E9714B"/>
    <w:rsid w:val="00EA30B2"/>
    <w:rsid w:val="00ED38FC"/>
    <w:rsid w:val="00ED3DD3"/>
    <w:rsid w:val="00FB28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9E21"/>
  <w15:chartTrackingRefBased/>
  <w15:docId w15:val="{B47551E9-A433-469C-9B07-3DAF088C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463F3C"/>
    <w:pPr>
      <w:keepNext/>
      <w:keepLines/>
      <w:spacing w:before="240" w:after="0"/>
      <w:outlineLvl w:val="0"/>
    </w:pPr>
    <w:rPr>
      <w:rFonts w:asciiTheme="majorHAnsi" w:eastAsiaTheme="majorEastAsia" w:hAnsiTheme="majorHAnsi" w:cstheme="majorBidi"/>
      <w:color w:val="2F5496" w:themeColor="accent1" w:themeShade="BF"/>
      <w:sz w:val="32"/>
      <w:szCs w:val="32"/>
      <w:lang w:eastAsia="it-IT"/>
    </w:rPr>
  </w:style>
  <w:style w:type="paragraph" w:styleId="Titolo2">
    <w:name w:val="heading 2"/>
    <w:basedOn w:val="Normale"/>
    <w:next w:val="Normale"/>
    <w:link w:val="Titolo2Carattere"/>
    <w:uiPriority w:val="9"/>
    <w:unhideWhenUsed/>
    <w:qFormat/>
    <w:rsid w:val="00463F3C"/>
    <w:pPr>
      <w:keepNext/>
      <w:keepLines/>
      <w:spacing w:before="40" w:after="0"/>
      <w:outlineLvl w:val="1"/>
    </w:pPr>
    <w:rPr>
      <w:rFonts w:eastAsiaTheme="majorEastAsia" w:cstheme="majorBidi"/>
      <w:i/>
      <w:color w:val="2F5496" w:themeColor="accent1" w:themeShade="BF"/>
      <w:szCs w:val="26"/>
      <w:lang w:eastAsia="it-IT"/>
    </w:rPr>
  </w:style>
  <w:style w:type="paragraph" w:styleId="Titolo3">
    <w:name w:val="heading 3"/>
    <w:basedOn w:val="Normale"/>
    <w:next w:val="Normale"/>
    <w:link w:val="Titolo3Carattere"/>
    <w:uiPriority w:val="9"/>
    <w:unhideWhenUsed/>
    <w:qFormat/>
    <w:rsid w:val="00463F3C"/>
    <w:pPr>
      <w:keepNext/>
      <w:keepLines/>
      <w:spacing w:before="40" w:after="0"/>
      <w:outlineLvl w:val="2"/>
    </w:pPr>
    <w:rPr>
      <w:rFonts w:asciiTheme="majorHAnsi" w:eastAsiaTheme="majorEastAsia" w:hAnsiTheme="majorHAnsi" w:cstheme="majorBidi"/>
      <w:color w:val="1F3763" w:themeColor="accent1" w:themeShade="7F"/>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63F3C"/>
    <w:rPr>
      <w:rFonts w:asciiTheme="majorHAnsi" w:eastAsiaTheme="majorEastAsia" w:hAnsiTheme="majorHAnsi" w:cstheme="majorBidi"/>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463F3C"/>
    <w:rPr>
      <w:rFonts w:eastAsiaTheme="majorEastAsia" w:cstheme="majorBidi"/>
      <w:i/>
      <w:color w:val="2F5496" w:themeColor="accent1" w:themeShade="BF"/>
      <w:szCs w:val="26"/>
      <w:lang w:eastAsia="it-IT"/>
    </w:rPr>
  </w:style>
  <w:style w:type="character" w:customStyle="1" w:styleId="Titolo3Carattere">
    <w:name w:val="Titolo 3 Carattere"/>
    <w:basedOn w:val="Carpredefinitoparagrafo"/>
    <w:link w:val="Titolo3"/>
    <w:uiPriority w:val="9"/>
    <w:rsid w:val="00463F3C"/>
    <w:rPr>
      <w:rFonts w:asciiTheme="majorHAnsi" w:eastAsiaTheme="majorEastAsia" w:hAnsiTheme="majorHAnsi" w:cstheme="majorBidi"/>
      <w:color w:val="1F3763" w:themeColor="accent1" w:themeShade="7F"/>
      <w:szCs w:val="24"/>
      <w:lang w:eastAsia="it-IT"/>
    </w:rPr>
  </w:style>
  <w:style w:type="numbering" w:customStyle="1" w:styleId="Nessunelenco1">
    <w:name w:val="Nessun elenco1"/>
    <w:next w:val="Nessunelenco"/>
    <w:uiPriority w:val="99"/>
    <w:semiHidden/>
    <w:unhideWhenUsed/>
    <w:rsid w:val="00463F3C"/>
  </w:style>
  <w:style w:type="table" w:styleId="Grigliatabella">
    <w:name w:val="Table Grid"/>
    <w:basedOn w:val="Tabellanormale"/>
    <w:rsid w:val="00463F3C"/>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rsid w:val="00463F3C"/>
    <w:pPr>
      <w:spacing w:after="120"/>
    </w:pPr>
    <w:rPr>
      <w:rFonts w:ascii="Calibri" w:eastAsia="Times New Roman" w:hAnsi="Calibri" w:cs="Times New Roman"/>
      <w:sz w:val="20"/>
      <w:szCs w:val="20"/>
      <w:lang w:eastAsia="it-IT"/>
    </w:rPr>
  </w:style>
  <w:style w:type="character" w:customStyle="1" w:styleId="TestocommentoCarattere">
    <w:name w:val="Testo commento Carattere"/>
    <w:basedOn w:val="Carpredefinitoparagrafo"/>
    <w:link w:val="Testocommento"/>
    <w:rsid w:val="00463F3C"/>
    <w:rPr>
      <w:rFonts w:ascii="Calibri" w:eastAsia="Times New Roman" w:hAnsi="Calibri" w:cs="Times New Roman"/>
      <w:sz w:val="20"/>
      <w:szCs w:val="20"/>
      <w:lang w:eastAsia="it-IT"/>
    </w:rPr>
  </w:style>
  <w:style w:type="character" w:styleId="Rimandocommento">
    <w:name w:val="annotation reference"/>
    <w:rsid w:val="00463F3C"/>
    <w:rPr>
      <w:rFonts w:cs="Times New Roman"/>
      <w:sz w:val="16"/>
      <w:szCs w:val="16"/>
    </w:rPr>
  </w:style>
  <w:style w:type="paragraph" w:customStyle="1" w:styleId="Stileprima6ptDopo6pt">
    <w:name w:val="Stile prima 6 pt Dopo:  6 pt"/>
    <w:basedOn w:val="Normale"/>
    <w:rsid w:val="00463F3C"/>
    <w:pPr>
      <w:spacing w:before="120" w:after="120"/>
    </w:pPr>
    <w:rPr>
      <w:rFonts w:ascii="Calibri" w:eastAsia="Times New Roman" w:hAnsi="Calibri" w:cs="Times New Roman"/>
      <w:sz w:val="20"/>
      <w:szCs w:val="20"/>
      <w:lang w:eastAsia="it-IT"/>
    </w:rPr>
  </w:style>
  <w:style w:type="character" w:styleId="Collegamentoipertestuale">
    <w:name w:val="Hyperlink"/>
    <w:uiPriority w:val="99"/>
    <w:rsid w:val="00463F3C"/>
    <w:rPr>
      <w:color w:val="0000FF"/>
      <w:u w:val="single"/>
    </w:rPr>
  </w:style>
  <w:style w:type="paragraph" w:styleId="Paragrafoelenco">
    <w:name w:val="List Paragraph"/>
    <w:basedOn w:val="Normale"/>
    <w:uiPriority w:val="34"/>
    <w:qFormat/>
    <w:rsid w:val="00463F3C"/>
    <w:pPr>
      <w:ind w:left="720"/>
      <w:contextualSpacing/>
    </w:pPr>
    <w:rPr>
      <w:rFonts w:ascii="Calibri" w:eastAsia="Times New Roman" w:hAnsi="Calibri" w:cs="Times New Roman"/>
      <w:sz w:val="20"/>
      <w:szCs w:val="20"/>
      <w:lang w:eastAsia="it-IT"/>
    </w:rPr>
  </w:style>
  <w:style w:type="paragraph" w:customStyle="1" w:styleId="ANVURMGstileC">
    <w:name w:val="ANVUR MG stile C"/>
    <w:basedOn w:val="Normale"/>
    <w:qFormat/>
    <w:rsid w:val="00463F3C"/>
    <w:pPr>
      <w:spacing w:before="120"/>
    </w:pPr>
    <w:rPr>
      <w:rFonts w:ascii="Calibri" w:eastAsia="Times New Roman" w:hAnsi="Calibri" w:cs="Arial"/>
      <w:b/>
      <w:i/>
      <w:sz w:val="20"/>
      <w:szCs w:val="20"/>
      <w:lang w:eastAsia="it-IT"/>
    </w:rPr>
  </w:style>
  <w:style w:type="paragraph" w:customStyle="1" w:styleId="ANVURMGstileEelencopuntato">
    <w:name w:val="ANVUR MG stile E elenco puntato"/>
    <w:basedOn w:val="Paragrafoelenco"/>
    <w:qFormat/>
    <w:rsid w:val="00463F3C"/>
    <w:pPr>
      <w:numPr>
        <w:numId w:val="1"/>
      </w:numPr>
      <w:spacing w:before="120"/>
      <w:contextualSpacing w:val="0"/>
    </w:pPr>
    <w:rPr>
      <w:rFonts w:cs="Calibri"/>
    </w:rPr>
  </w:style>
  <w:style w:type="paragraph" w:customStyle="1" w:styleId="ANVURMGstileH">
    <w:name w:val="ANVUR MG stile H"/>
    <w:basedOn w:val="Normale"/>
    <w:qFormat/>
    <w:rsid w:val="00463F3C"/>
    <w:pPr>
      <w:spacing w:line="360" w:lineRule="auto"/>
    </w:pPr>
    <w:rPr>
      <w:rFonts w:ascii="Calibri" w:eastAsia="Times New Roman" w:hAnsi="Calibri" w:cs="Times New Roman"/>
      <w:b/>
      <w:sz w:val="24"/>
      <w:szCs w:val="24"/>
      <w:lang w:eastAsia="it-IT"/>
    </w:rPr>
  </w:style>
  <w:style w:type="paragraph" w:customStyle="1" w:styleId="ANVURMGstileIvaloriABCD">
    <w:name w:val="ANVUR MG stile I valori ABCD"/>
    <w:basedOn w:val="Normale"/>
    <w:qFormat/>
    <w:rsid w:val="00463F3C"/>
    <w:pPr>
      <w:spacing w:before="120" w:after="120"/>
    </w:pPr>
    <w:rPr>
      <w:rFonts w:ascii="Calibri" w:eastAsia="Times New Roman" w:hAnsi="Calibri" w:cs="Arial"/>
      <w:b/>
      <w:sz w:val="40"/>
      <w:szCs w:val="20"/>
      <w:lang w:eastAsia="it-IT"/>
    </w:rPr>
  </w:style>
  <w:style w:type="paragraph" w:customStyle="1" w:styleId="Default">
    <w:name w:val="Default"/>
    <w:rsid w:val="00463F3C"/>
    <w:pPr>
      <w:autoSpaceDE w:val="0"/>
      <w:autoSpaceDN w:val="0"/>
      <w:adjustRightInd w:val="0"/>
      <w:spacing w:after="0" w:line="240" w:lineRule="auto"/>
    </w:pPr>
    <w:rPr>
      <w:rFonts w:ascii="Arial" w:eastAsia="Times New Roman" w:hAnsi="Arial" w:cs="Arial"/>
      <w:color w:val="000000"/>
      <w:sz w:val="24"/>
      <w:szCs w:val="24"/>
      <w:lang w:eastAsia="it-IT"/>
    </w:rPr>
  </w:style>
  <w:style w:type="paragraph" w:customStyle="1" w:styleId="ANVURMGstileD">
    <w:name w:val="ANVUR MG stile D"/>
    <w:basedOn w:val="Normale"/>
    <w:qFormat/>
    <w:rsid w:val="00463F3C"/>
    <w:pPr>
      <w:spacing w:before="120" w:after="120"/>
    </w:pPr>
    <w:rPr>
      <w:rFonts w:ascii="Calibri" w:eastAsia="Times New Roman" w:hAnsi="Calibri" w:cs="Calibri"/>
      <w:b/>
      <w:bCs/>
      <w:sz w:val="20"/>
      <w:szCs w:val="20"/>
      <w:u w:val="single"/>
      <w:lang w:eastAsia="it-IT"/>
    </w:rPr>
  </w:style>
  <w:style w:type="table" w:customStyle="1" w:styleId="Grigliatabella1">
    <w:name w:val="Griglia tabella1"/>
    <w:basedOn w:val="Tabellanormale"/>
    <w:next w:val="Grigliatabella"/>
    <w:rsid w:val="00463F3C"/>
    <w:pPr>
      <w:spacing w:after="0" w:line="240"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463F3C"/>
    <w:pPr>
      <w:spacing w:after="0" w:line="240" w:lineRule="auto"/>
    </w:pPr>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463F3C"/>
    <w:pPr>
      <w:spacing w:after="0"/>
    </w:pPr>
    <w:rPr>
      <w:b/>
      <w:bCs/>
    </w:rPr>
  </w:style>
  <w:style w:type="character" w:customStyle="1" w:styleId="SoggettocommentoCarattere">
    <w:name w:val="Soggetto commento Carattere"/>
    <w:basedOn w:val="TestocommentoCarattere"/>
    <w:link w:val="Soggettocommento"/>
    <w:uiPriority w:val="99"/>
    <w:semiHidden/>
    <w:rsid w:val="00463F3C"/>
    <w:rPr>
      <w:rFonts w:ascii="Calibri" w:eastAsia="Times New Roman" w:hAnsi="Calibri" w:cs="Times New Roman"/>
      <w:b/>
      <w:bCs/>
      <w:sz w:val="20"/>
      <w:szCs w:val="20"/>
      <w:lang w:eastAsia="it-IT"/>
    </w:rPr>
  </w:style>
  <w:style w:type="paragraph" w:styleId="NormaleWeb">
    <w:name w:val="Normal (Web)"/>
    <w:basedOn w:val="Normale"/>
    <w:uiPriority w:val="99"/>
    <w:unhideWhenUsed/>
    <w:rsid w:val="00463F3C"/>
    <w:pPr>
      <w:spacing w:before="100" w:beforeAutospacing="1" w:after="100" w:afterAutospacing="1"/>
    </w:pPr>
    <w:rPr>
      <w:rFonts w:ascii="Times New Roman" w:eastAsia="Times New Roman" w:hAnsi="Times New Roman" w:cs="Times New Roman"/>
      <w:sz w:val="24"/>
      <w:szCs w:val="24"/>
      <w:lang w:eastAsia="it-IT"/>
    </w:rPr>
  </w:style>
  <w:style w:type="paragraph" w:styleId="Nessunaspaziatura">
    <w:name w:val="No Spacing"/>
    <w:uiPriority w:val="1"/>
    <w:qFormat/>
    <w:rsid w:val="00463F3C"/>
    <w:pPr>
      <w:spacing w:after="0" w:line="240" w:lineRule="auto"/>
    </w:pPr>
    <w:rPr>
      <w:rFonts w:ascii="Calibri" w:eastAsia="MS Mincho" w:hAnsi="Calibri" w:cs="Times New Roman"/>
      <w:lang w:eastAsia="it-IT"/>
    </w:rPr>
  </w:style>
  <w:style w:type="paragraph" w:styleId="Intestazione">
    <w:name w:val="header"/>
    <w:basedOn w:val="Normale"/>
    <w:link w:val="IntestazioneCarattere"/>
    <w:uiPriority w:val="99"/>
    <w:unhideWhenUsed/>
    <w:rsid w:val="00463F3C"/>
    <w:pPr>
      <w:tabs>
        <w:tab w:val="center" w:pos="4819"/>
        <w:tab w:val="right" w:pos="9638"/>
      </w:tabs>
    </w:pPr>
    <w:rPr>
      <w:rFonts w:ascii="Calibri" w:eastAsia="Times New Roman" w:hAnsi="Calibri" w:cs="Times New Roman"/>
      <w:sz w:val="20"/>
      <w:szCs w:val="20"/>
      <w:lang w:eastAsia="it-IT"/>
    </w:rPr>
  </w:style>
  <w:style w:type="character" w:customStyle="1" w:styleId="IntestazioneCarattere">
    <w:name w:val="Intestazione Carattere"/>
    <w:basedOn w:val="Carpredefinitoparagrafo"/>
    <w:link w:val="Intestazione"/>
    <w:uiPriority w:val="99"/>
    <w:rsid w:val="00463F3C"/>
    <w:rPr>
      <w:rFonts w:ascii="Calibri" w:eastAsia="Times New Roman" w:hAnsi="Calibri" w:cs="Times New Roman"/>
      <w:sz w:val="20"/>
      <w:szCs w:val="20"/>
      <w:lang w:eastAsia="it-IT"/>
    </w:rPr>
  </w:style>
  <w:style w:type="paragraph" w:styleId="Pidipagina">
    <w:name w:val="footer"/>
    <w:basedOn w:val="Normale"/>
    <w:link w:val="PidipaginaCarattere"/>
    <w:uiPriority w:val="99"/>
    <w:unhideWhenUsed/>
    <w:rsid w:val="00463F3C"/>
    <w:pPr>
      <w:tabs>
        <w:tab w:val="center" w:pos="4819"/>
        <w:tab w:val="right" w:pos="9638"/>
      </w:tabs>
    </w:pPr>
    <w:rPr>
      <w:rFonts w:ascii="Calibri" w:eastAsia="Times New Roman" w:hAnsi="Calibri" w:cs="Times New Roman"/>
      <w:sz w:val="20"/>
      <w:szCs w:val="20"/>
      <w:lang w:eastAsia="it-IT"/>
    </w:rPr>
  </w:style>
  <w:style w:type="character" w:customStyle="1" w:styleId="PidipaginaCarattere">
    <w:name w:val="Piè di pagina Carattere"/>
    <w:basedOn w:val="Carpredefinitoparagrafo"/>
    <w:link w:val="Pidipagina"/>
    <w:uiPriority w:val="99"/>
    <w:rsid w:val="00463F3C"/>
    <w:rPr>
      <w:rFonts w:ascii="Calibri" w:eastAsia="Times New Roman" w:hAnsi="Calibri" w:cs="Times New Roman"/>
      <w:sz w:val="20"/>
      <w:szCs w:val="20"/>
      <w:lang w:eastAsia="it-IT"/>
    </w:rPr>
  </w:style>
  <w:style w:type="paragraph" w:styleId="Titolosommario">
    <w:name w:val="TOC Heading"/>
    <w:basedOn w:val="Titolo1"/>
    <w:next w:val="Normale"/>
    <w:uiPriority w:val="39"/>
    <w:unhideWhenUsed/>
    <w:qFormat/>
    <w:rsid w:val="00463F3C"/>
    <w:pPr>
      <w:outlineLvl w:val="9"/>
    </w:pPr>
  </w:style>
  <w:style w:type="paragraph" w:styleId="Sommario1">
    <w:name w:val="toc 1"/>
    <w:basedOn w:val="Normale"/>
    <w:next w:val="Normale"/>
    <w:autoRedefine/>
    <w:uiPriority w:val="39"/>
    <w:unhideWhenUsed/>
    <w:rsid w:val="00463F3C"/>
    <w:pPr>
      <w:tabs>
        <w:tab w:val="right" w:leader="dot" w:pos="9628"/>
      </w:tabs>
      <w:spacing w:after="100"/>
    </w:pPr>
    <w:rPr>
      <w:rFonts w:ascii="Calibri" w:eastAsia="Times New Roman" w:hAnsi="Calibri" w:cs="Times New Roman"/>
      <w:sz w:val="20"/>
      <w:szCs w:val="20"/>
      <w:lang w:eastAsia="it-IT"/>
    </w:rPr>
  </w:style>
  <w:style w:type="paragraph" w:styleId="Sommario2">
    <w:name w:val="toc 2"/>
    <w:basedOn w:val="Normale"/>
    <w:next w:val="Normale"/>
    <w:autoRedefine/>
    <w:uiPriority w:val="39"/>
    <w:unhideWhenUsed/>
    <w:rsid w:val="00463F3C"/>
    <w:pPr>
      <w:tabs>
        <w:tab w:val="right" w:leader="dot" w:pos="9628"/>
      </w:tabs>
      <w:spacing w:after="100"/>
      <w:ind w:left="200"/>
    </w:pPr>
    <w:rPr>
      <w:rFonts w:ascii="Calibri" w:eastAsia="Times New Roman" w:hAnsi="Calibri" w:cs="Times New Roman"/>
      <w:noProof/>
      <w:sz w:val="20"/>
      <w:szCs w:val="20"/>
      <w:lang w:eastAsia="it-IT"/>
    </w:rPr>
  </w:style>
  <w:style w:type="paragraph" w:styleId="Sommario3">
    <w:name w:val="toc 3"/>
    <w:basedOn w:val="Normale"/>
    <w:next w:val="Normale"/>
    <w:autoRedefine/>
    <w:uiPriority w:val="39"/>
    <w:unhideWhenUsed/>
    <w:rsid w:val="00463F3C"/>
    <w:pPr>
      <w:tabs>
        <w:tab w:val="right" w:leader="dot" w:pos="9628"/>
      </w:tabs>
      <w:spacing w:after="100"/>
      <w:ind w:left="400"/>
    </w:pPr>
    <w:rPr>
      <w:rFonts w:ascii="Calibri" w:eastAsia="Times New Roman" w:hAnsi="Calibri" w:cstheme="majorHAnsi"/>
      <w:noProof/>
      <w:sz w:val="20"/>
      <w:szCs w:val="20"/>
      <w:lang w:eastAsia="it-IT"/>
    </w:rPr>
  </w:style>
  <w:style w:type="paragraph" w:customStyle="1" w:styleId="Livello1">
    <w:name w:val="Livello 1"/>
    <w:basedOn w:val="Normale"/>
    <w:qFormat/>
    <w:rsid w:val="00463F3C"/>
    <w:pPr>
      <w:spacing w:after="144"/>
    </w:pPr>
    <w:rPr>
      <w:rFonts w:ascii="Calibri" w:eastAsia="Times New Roman" w:hAnsi="Calibri" w:cs="Times New Roman"/>
      <w:i/>
      <w:iCs/>
      <w:sz w:val="20"/>
      <w:szCs w:val="20"/>
      <w:lang w:eastAsia="it-IT"/>
    </w:rPr>
  </w:style>
  <w:style w:type="character" w:customStyle="1" w:styleId="Menzionenonrisolta1">
    <w:name w:val="Menzione non risolta1"/>
    <w:basedOn w:val="Carpredefinitoparagrafo"/>
    <w:uiPriority w:val="99"/>
    <w:semiHidden/>
    <w:unhideWhenUsed/>
    <w:rsid w:val="00463F3C"/>
    <w:rPr>
      <w:color w:val="605E5C"/>
      <w:shd w:val="clear" w:color="auto" w:fill="E1DFDD"/>
    </w:rPr>
  </w:style>
  <w:style w:type="character" w:styleId="Collegamentovisitato">
    <w:name w:val="FollowedHyperlink"/>
    <w:basedOn w:val="Carpredefinitoparagrafo"/>
    <w:uiPriority w:val="99"/>
    <w:semiHidden/>
    <w:unhideWhenUsed/>
    <w:rsid w:val="00463F3C"/>
    <w:rPr>
      <w:color w:val="954F72" w:themeColor="followedHyperlink"/>
      <w:u w:val="single"/>
    </w:rPr>
  </w:style>
  <w:style w:type="paragraph" w:styleId="Testofumetto">
    <w:name w:val="Balloon Text"/>
    <w:basedOn w:val="Normale"/>
    <w:link w:val="TestofumettoCarattere"/>
    <w:uiPriority w:val="99"/>
    <w:semiHidden/>
    <w:unhideWhenUsed/>
    <w:rsid w:val="00463F3C"/>
    <w:pPr>
      <w:spacing w:after="0" w:line="240" w:lineRule="auto"/>
    </w:pPr>
    <w:rPr>
      <w:rFonts w:ascii="Segoe UI" w:eastAsia="Times New Roman" w:hAnsi="Segoe UI" w:cs="Segoe UI"/>
      <w:sz w:val="18"/>
      <w:szCs w:val="18"/>
      <w:lang w:eastAsia="it-IT"/>
    </w:rPr>
  </w:style>
  <w:style w:type="character" w:customStyle="1" w:styleId="TestofumettoCarattere">
    <w:name w:val="Testo fumetto Carattere"/>
    <w:basedOn w:val="Carpredefinitoparagrafo"/>
    <w:link w:val="Testofumetto"/>
    <w:uiPriority w:val="99"/>
    <w:semiHidden/>
    <w:rsid w:val="00463F3C"/>
    <w:rPr>
      <w:rFonts w:ascii="Segoe UI" w:eastAsia="Times New Roman" w:hAnsi="Segoe UI" w:cs="Segoe UI"/>
      <w:sz w:val="18"/>
      <w:szCs w:val="18"/>
      <w:lang w:eastAsia="it-IT"/>
    </w:rPr>
  </w:style>
  <w:style w:type="numbering" w:customStyle="1" w:styleId="Nessunelenco2">
    <w:name w:val="Nessun elenco2"/>
    <w:next w:val="Nessunelenco"/>
    <w:uiPriority w:val="99"/>
    <w:semiHidden/>
    <w:unhideWhenUsed/>
    <w:rsid w:val="00387B60"/>
  </w:style>
  <w:style w:type="character" w:styleId="Menzionenonrisolta">
    <w:name w:val="Unresolved Mention"/>
    <w:basedOn w:val="Carpredefinitoparagrafo"/>
    <w:uiPriority w:val="99"/>
    <w:semiHidden/>
    <w:unhideWhenUsed/>
    <w:rsid w:val="00434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24</Pages>
  <Words>7286</Words>
  <Characters>41533</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UFFAQ</dc:creator>
  <cp:keywords/>
  <dc:description/>
  <cp:lastModifiedBy>Scudiero, Giulia</cp:lastModifiedBy>
  <cp:revision>36</cp:revision>
  <dcterms:created xsi:type="dcterms:W3CDTF">2024-06-24T11:02:00Z</dcterms:created>
  <dcterms:modified xsi:type="dcterms:W3CDTF">2024-07-16T08:13:00Z</dcterms:modified>
</cp:coreProperties>
</file>