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EA" w:rsidRDefault="005258D6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APPLICATION FORM</w:t>
      </w:r>
    </w:p>
    <w:p w:rsidR="00AB45EA" w:rsidRDefault="005258D6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complete the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pplication form, in </w:t>
      </w:r>
      <w:r>
        <w:rPr>
          <w:rFonts w:ascii="Arial" w:eastAsia="Arial" w:hAnsi="Arial" w:cs="Arial"/>
          <w:sz w:val="24"/>
          <w:szCs w:val="24"/>
        </w:rPr>
        <w:t xml:space="preserve">English, </w:t>
      </w:r>
      <w:r>
        <w:rPr>
          <w:rFonts w:ascii="Arial" w:eastAsia="Arial" w:hAnsi="Arial" w:cs="Arial"/>
          <w:color w:val="000000"/>
          <w:sz w:val="24"/>
          <w:szCs w:val="24"/>
        </w:rPr>
        <w:t>and s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  <w:u w:val="single"/>
        </w:rPr>
        <w:t>signed</w:t>
      </w:r>
      <w:r>
        <w:rPr>
          <w:rFonts w:ascii="Arial" w:eastAsia="Arial" w:hAnsi="Arial" w:cs="Arial"/>
          <w:sz w:val="24"/>
          <w:szCs w:val="24"/>
        </w:rPr>
        <w:t xml:space="preserve"> copy with a certified email to </w:t>
      </w:r>
      <w:hyperlink r:id="rId8">
        <w:r>
          <w:rPr>
            <w:rFonts w:ascii="Arial" w:eastAsia="Arial" w:hAnsi="Arial" w:cs="Arial"/>
            <w:b/>
            <w:color w:val="467886"/>
            <w:sz w:val="24"/>
            <w:szCs w:val="24"/>
            <w:u w:val="single"/>
          </w:rPr>
          <w:t>ateneo@pec.unitn.it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 by 12.00 pm on 17/04/2025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AB45EA" w:rsidRDefault="005258D6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It is mandatory to complete all the fields</w:t>
      </w:r>
      <w:r>
        <w:rPr>
          <w:rFonts w:ascii="Arial" w:eastAsia="Arial" w:hAnsi="Arial" w:cs="Arial"/>
          <w:sz w:val="24"/>
          <w:szCs w:val="24"/>
        </w:rPr>
        <w:t>.</w:t>
      </w:r>
    </w:p>
    <w:p w:rsidR="00AB45EA" w:rsidRPr="00D6407A" w:rsidRDefault="005258D6">
      <w:pPr>
        <w:spacing w:before="120" w:after="120" w:line="360" w:lineRule="auto"/>
        <w:rPr>
          <w:rFonts w:ascii="Arial" w:eastAsia="Arial" w:hAnsi="Arial" w:cs="Arial"/>
          <w:color w:val="A6A6A6"/>
          <w:sz w:val="24"/>
          <w:szCs w:val="24"/>
          <w:lang w:val="it-IT"/>
        </w:rPr>
      </w:pPr>
      <w:r w:rsidRPr="00D6407A">
        <w:rPr>
          <w:rFonts w:ascii="Arial" w:eastAsia="Arial" w:hAnsi="Arial" w:cs="Arial"/>
          <w:color w:val="A6A6A6"/>
          <w:sz w:val="24"/>
          <w:szCs w:val="24"/>
          <w:lang w:val="it-IT"/>
        </w:rPr>
        <w:t>___________________________________________________________________</w:t>
      </w:r>
    </w:p>
    <w:p w:rsidR="00AB45EA" w:rsidRPr="00D6407A" w:rsidRDefault="005258D6">
      <w:pPr>
        <w:spacing w:before="120" w:after="0" w:line="360" w:lineRule="auto"/>
        <w:rPr>
          <w:rFonts w:ascii="Arial" w:eastAsia="Arial" w:hAnsi="Arial" w:cs="Arial"/>
          <w:b/>
          <w:sz w:val="24"/>
          <w:szCs w:val="24"/>
          <w:lang w:val="it-IT"/>
        </w:rPr>
      </w:pPr>
      <w:r w:rsidRPr="00D6407A">
        <w:rPr>
          <w:rFonts w:ascii="Arial" w:eastAsia="Arial" w:hAnsi="Arial" w:cs="Arial"/>
          <w:b/>
          <w:sz w:val="24"/>
          <w:szCs w:val="24"/>
          <w:lang w:val="it-IT"/>
        </w:rPr>
        <w:t>CONSENSO AL TRATTAMENTO DATI (GDPR)</w:t>
      </w:r>
    </w:p>
    <w:p w:rsidR="00AB45EA" w:rsidRPr="00D6407A" w:rsidRDefault="005258D6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it-IT"/>
        </w:rPr>
      </w:pPr>
      <w:r w:rsidRPr="00D6407A">
        <w:rPr>
          <w:rFonts w:ascii="Arial" w:eastAsia="Arial" w:hAnsi="Arial" w:cs="Arial"/>
          <w:i/>
          <w:sz w:val="24"/>
          <w:szCs w:val="24"/>
          <w:lang w:val="it-IT"/>
        </w:rPr>
        <w:t>Ai sensi dell’art. 13 del D.lgs.196/03 ed in seguito all’entrata in vigore del Regolamento UE nr. 679/2016 conformemente a quanto disciplinato dall’art.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13 del citato Regolamento Europeo e del Provvedimento generale del Garante Privacy in materia di cookie dell’8 maggio 2014, n. 229 desideriamo comunicarVi quanto segue:</w:t>
      </w:r>
    </w:p>
    <w:p w:rsidR="00AB45EA" w:rsidRPr="00D6407A" w:rsidRDefault="005258D6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it-IT"/>
        </w:rPr>
      </w:pPr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Il presente documento raccoglie informazioni di tipo personale classificabili secondo 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>la normativa GDPR: si informa che il loro mancato conferimento può comportare l’impossibilità di raggiungere le finalità cui il trattamento è connesso.</w:t>
      </w:r>
    </w:p>
    <w:p w:rsidR="00AB45EA" w:rsidRPr="00D6407A" w:rsidRDefault="005258D6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it-IT"/>
        </w:rPr>
      </w:pPr>
      <w:r w:rsidRPr="00D6407A">
        <w:rPr>
          <w:rFonts w:ascii="Arial" w:eastAsia="Arial" w:hAnsi="Arial" w:cs="Arial"/>
          <w:i/>
          <w:sz w:val="24"/>
          <w:szCs w:val="24"/>
          <w:lang w:val="it-IT"/>
        </w:rPr>
        <w:t>Si informa che il trattamento dei dati personali effettuato dall’Università di Trento attiene esclusivam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>ente ai dati personali utilizzati per finalità connesse alla registrazione dei risultati del presente questionario. Ai sensi dell’art.13 del GDPR (Regolamento UE n. 679/2016), La informiamo che i suoi dati non verranno diffusi a terze parti al di fuori del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progetto PNRR “BBMRI.it - 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Strengthening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of the 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Biobanking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and 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Biomolecular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Resources Research 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Infrastructure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 xml:space="preserve"> of 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Italy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” - CUPB53C22001820006 (bbmri.it/</w:t>
      </w:r>
      <w:proofErr w:type="spellStart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pnrr</w:t>
      </w:r>
      <w:proofErr w:type="spellEnd"/>
      <w:r w:rsidRPr="00D6407A">
        <w:rPr>
          <w:rFonts w:ascii="Arial" w:eastAsia="Arial" w:hAnsi="Arial" w:cs="Arial"/>
          <w:i/>
          <w:sz w:val="24"/>
          <w:szCs w:val="24"/>
          <w:lang w:val="it-IT"/>
        </w:rPr>
        <w:t>).</w:t>
      </w:r>
    </w:p>
    <w:p w:rsidR="00AB45EA" w:rsidRPr="00D6407A" w:rsidRDefault="005258D6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it-IT"/>
        </w:rPr>
      </w:pPr>
      <w:r w:rsidRPr="00D6407A">
        <w:rPr>
          <w:rFonts w:ascii="Arial" w:eastAsia="Arial" w:hAnsi="Arial" w:cs="Arial"/>
          <w:i/>
          <w:sz w:val="24"/>
          <w:szCs w:val="24"/>
          <w:lang w:val="it-IT"/>
        </w:rPr>
        <w:t>I suoi dati saranno conservati per il periodo di tempo necessario per il conseguimento delle final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>ità per le quali sono raccolti e trattati e comunque nei termini di legge vigenti. Il trattamento sarà svolto in forma automatizzata e/o manuale, nel rispetto di quanto previsto dall’art. 32 del GDPR in materia di sicurezza, ad opera di soggetti appositame</w:t>
      </w:r>
      <w:r w:rsidRPr="00D6407A">
        <w:rPr>
          <w:rFonts w:ascii="Arial" w:eastAsia="Arial" w:hAnsi="Arial" w:cs="Arial"/>
          <w:i/>
          <w:sz w:val="24"/>
          <w:szCs w:val="24"/>
          <w:lang w:val="it-IT"/>
        </w:rPr>
        <w:t>nte incaricati e in ottemperanza a quanto previsto dall’art. 29 del GDPR; inoltre, nel rispetto dei principi di liceità, limitazione delle finalità e minimizzazione dei dati, ai sensi dell’art. 5 del GDPR.</w:t>
      </w:r>
    </w:p>
    <w:p w:rsidR="00AB45EA" w:rsidRPr="00D6407A" w:rsidRDefault="005258D6">
      <w:pPr>
        <w:spacing w:after="120" w:line="276" w:lineRule="auto"/>
        <w:rPr>
          <w:rFonts w:ascii="Arial" w:eastAsia="Arial" w:hAnsi="Arial" w:cs="Arial"/>
          <w:b/>
          <w:i/>
          <w:sz w:val="24"/>
          <w:szCs w:val="24"/>
          <w:lang w:val="it-IT"/>
        </w:rPr>
      </w:pPr>
      <w:r w:rsidRPr="00D6407A">
        <w:rPr>
          <w:rFonts w:ascii="Arial" w:eastAsia="Arial" w:hAnsi="Arial" w:cs="Arial"/>
          <w:b/>
          <w:i/>
          <w:sz w:val="24"/>
          <w:szCs w:val="24"/>
          <w:lang w:val="it-IT"/>
        </w:rPr>
        <w:t>L’invio del presente documento implica l’accettazi</w:t>
      </w:r>
      <w:r w:rsidRPr="00D6407A">
        <w:rPr>
          <w:rFonts w:ascii="Arial" w:eastAsia="Arial" w:hAnsi="Arial" w:cs="Arial"/>
          <w:b/>
          <w:i/>
          <w:sz w:val="24"/>
          <w:szCs w:val="24"/>
          <w:lang w:val="it-IT"/>
        </w:rPr>
        <w:t>one del consenso al trattamento dei dati.</w:t>
      </w:r>
    </w:p>
    <w:p w:rsidR="00AB45EA" w:rsidRPr="00D6407A" w:rsidRDefault="00AB45EA">
      <w:pPr>
        <w:spacing w:after="120" w:line="360" w:lineRule="auto"/>
        <w:rPr>
          <w:rFonts w:ascii="Arial" w:eastAsia="Arial" w:hAnsi="Arial" w:cs="Arial"/>
          <w:b/>
          <w:sz w:val="16"/>
          <w:szCs w:val="16"/>
          <w:lang w:val="it-IT"/>
        </w:rPr>
      </w:pPr>
    </w:p>
    <w:tbl>
      <w:tblPr>
        <w:tblStyle w:val="aa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1725"/>
        <w:gridCol w:w="1980"/>
      </w:tblGrid>
      <w:tr w:rsidR="00AB45EA">
        <w:trPr>
          <w:trHeight w:val="450"/>
          <w:jc w:val="center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AB45EA" w:rsidRDefault="005258D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CORE FACILITY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INFORMATION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(APPLICANT)</w:t>
            </w: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Core Facility name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ress of the Core Facility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Website (if present)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person name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person email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D640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Institutional certified email (PEC)</w:t>
            </w:r>
          </w:p>
        </w:tc>
        <w:tc>
          <w:tcPr>
            <w:tcW w:w="3705" w:type="dxa"/>
            <w:gridSpan w:val="2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AB45EA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5325" w:type="dx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the Core Facility part of NICo-BBMRI.it?</w:t>
            </w:r>
          </w:p>
        </w:tc>
        <w:tc>
          <w:tcPr>
            <w:tcW w:w="3705" w:type="dxa"/>
            <w:gridSpan w:val="2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AB45EA" w:rsidRDefault="005258D6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yes/no</w:t>
            </w:r>
          </w:p>
        </w:tc>
      </w:tr>
      <w:tr w:rsidR="00AB45EA">
        <w:trPr>
          <w:trHeight w:val="345"/>
          <w:jc w:val="center"/>
        </w:trPr>
        <w:tc>
          <w:tcPr>
            <w:tcW w:w="9030" w:type="dxa"/>
            <w:gridSpan w:val="3"/>
            <w:tcBorders>
              <w:left w:val="single" w:sz="4" w:space="0" w:color="FFFFFF"/>
            </w:tcBorders>
            <w:vAlign w:val="center"/>
          </w:tcPr>
          <w:p w:rsidR="00AB45EA" w:rsidRDefault="00AB45EA">
            <w:pPr>
              <w:spacing w:line="360" w:lineRule="auto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AB45EA">
        <w:trPr>
          <w:trHeight w:val="405"/>
          <w:jc w:val="center"/>
        </w:trPr>
        <w:tc>
          <w:tcPr>
            <w:tcW w:w="9030" w:type="dxa"/>
            <w:gridSpan w:val="3"/>
            <w:shd w:val="clear" w:color="auto" w:fill="EFEFEF"/>
            <w:vAlign w:val="center"/>
          </w:tcPr>
          <w:p w:rsidR="00AB45EA" w:rsidRDefault="005258D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INTERLABORATORY TEST OF INTEREST </w:t>
            </w:r>
          </w:p>
          <w:p w:rsidR="00AB45EA" w:rsidRDefault="005258D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(fill in one application per test, send a single PEC for all the applications)</w:t>
            </w:r>
          </w:p>
        </w:tc>
      </w:tr>
      <w:tr w:rsidR="00AB45EA" w:rsidTr="00D6407A">
        <w:trPr>
          <w:trHeight w:val="405"/>
          <w:jc w:val="center"/>
        </w:trPr>
        <w:tc>
          <w:tcPr>
            <w:tcW w:w="5325" w:type="dxa"/>
            <w:tcBorders>
              <w:right w:val="single" w:sz="4" w:space="0" w:color="auto"/>
            </w:tcBorders>
            <w:vAlign w:val="center"/>
          </w:tcPr>
          <w:p w:rsidR="00AB45EA" w:rsidRDefault="005258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Interlaboratory test of interest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  <w:vAlign w:val="center"/>
          </w:tcPr>
          <w:p w:rsidR="00AB45EA" w:rsidRDefault="0052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Request for service refund</w:t>
            </w:r>
          </w:p>
        </w:tc>
      </w:tr>
      <w:tr w:rsidR="00AB45EA" w:rsidTr="00D6407A">
        <w:trPr>
          <w:trHeight w:val="555"/>
          <w:jc w:val="center"/>
        </w:trPr>
        <w:tc>
          <w:tcPr>
            <w:tcW w:w="5325" w:type="dxa"/>
            <w:tcBorders>
              <w:right w:val="single" w:sz="4" w:space="0" w:color="auto"/>
            </w:tcBorders>
            <w:vAlign w:val="center"/>
          </w:tcPr>
          <w:p w:rsidR="00AB45EA" w:rsidRDefault="00D6407A">
            <w:pPr>
              <w:numPr>
                <w:ilvl w:val="0"/>
                <w:numId w:val="1"/>
              </w:numPr>
              <w:spacing w:line="360" w:lineRule="auto"/>
              <w:ind w:left="283" w:right="-130" w:hanging="28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306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sz w:val="24"/>
                <w:szCs w:val="24"/>
              </w:rPr>
              <w:t>Confocal microscopy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 w:hanging="42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869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YES</w:t>
            </w:r>
          </w:p>
        </w:tc>
        <w:tc>
          <w:tcPr>
            <w:tcW w:w="1980" w:type="dxa"/>
            <w:tcBorders>
              <w:lef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8099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NO</w:t>
            </w:r>
          </w:p>
        </w:tc>
      </w:tr>
      <w:tr w:rsidR="00AB45EA" w:rsidTr="00D6407A">
        <w:trPr>
          <w:trHeight w:val="630"/>
          <w:jc w:val="center"/>
        </w:trPr>
        <w:tc>
          <w:tcPr>
            <w:tcW w:w="5325" w:type="dxa"/>
            <w:tcBorders>
              <w:right w:val="single" w:sz="4" w:space="0" w:color="auto"/>
            </w:tcBorders>
            <w:vAlign w:val="center"/>
          </w:tcPr>
          <w:p w:rsidR="00AB45EA" w:rsidRDefault="00D6407A">
            <w:pPr>
              <w:numPr>
                <w:ilvl w:val="0"/>
                <w:numId w:val="1"/>
              </w:numPr>
              <w:spacing w:line="360" w:lineRule="auto"/>
              <w:ind w:left="283" w:right="-130" w:hanging="28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0344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sz w:val="24"/>
                <w:szCs w:val="24"/>
              </w:rPr>
              <w:t>RNA sequencing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5825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YES</w:t>
            </w:r>
          </w:p>
        </w:tc>
        <w:tc>
          <w:tcPr>
            <w:tcW w:w="1980" w:type="dxa"/>
            <w:tcBorders>
              <w:lef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20169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NO</w:t>
            </w:r>
          </w:p>
        </w:tc>
      </w:tr>
      <w:tr w:rsidR="00AB45EA" w:rsidTr="00D6407A">
        <w:trPr>
          <w:trHeight w:val="720"/>
          <w:jc w:val="center"/>
        </w:trPr>
        <w:tc>
          <w:tcPr>
            <w:tcW w:w="5325" w:type="dxa"/>
            <w:tcBorders>
              <w:right w:val="single" w:sz="4" w:space="0" w:color="auto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283" w:right="-130" w:hanging="28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44958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sz w:val="24"/>
                <w:szCs w:val="24"/>
              </w:rPr>
              <w:t>Flow cytometry and nanoparticle tracking analysis of EVs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20952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YES</w:t>
            </w:r>
          </w:p>
        </w:tc>
        <w:tc>
          <w:tcPr>
            <w:tcW w:w="1980" w:type="dxa"/>
            <w:tcBorders>
              <w:lef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 w:hanging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7646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NO</w:t>
            </w:r>
          </w:p>
        </w:tc>
      </w:tr>
      <w:tr w:rsidR="00AB45EA" w:rsidTr="00D6407A">
        <w:trPr>
          <w:trHeight w:val="570"/>
          <w:jc w:val="center"/>
        </w:trPr>
        <w:tc>
          <w:tcPr>
            <w:tcW w:w="5325" w:type="dxa"/>
            <w:tcBorders>
              <w:right w:val="single" w:sz="4" w:space="0" w:color="auto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283" w:right="-130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9006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258D6">
              <w:rPr>
                <w:rFonts w:ascii="Arial" w:eastAsia="Arial" w:hAnsi="Arial" w:cs="Arial"/>
                <w:sz w:val="24"/>
                <w:szCs w:val="24"/>
              </w:rPr>
              <w:t>Mass-spectrometry-based proteomic analysis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7944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YES</w:t>
            </w:r>
          </w:p>
        </w:tc>
        <w:tc>
          <w:tcPr>
            <w:tcW w:w="1980" w:type="dxa"/>
            <w:tcBorders>
              <w:left w:val="single" w:sz="4" w:space="0" w:color="FFFFFF"/>
            </w:tcBorders>
            <w:vAlign w:val="center"/>
          </w:tcPr>
          <w:p w:rsidR="00AB45EA" w:rsidRDefault="00D6407A">
            <w:pPr>
              <w:widowControl w:val="0"/>
              <w:numPr>
                <w:ilvl w:val="0"/>
                <w:numId w:val="1"/>
              </w:numPr>
              <w:spacing w:before="60" w:line="360" w:lineRule="auto"/>
              <w:ind w:left="425" w:hanging="425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20998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5258D6">
              <w:rPr>
                <w:rFonts w:ascii="Arial" w:eastAsia="Arial" w:hAnsi="Arial" w:cs="Arial"/>
                <w:i/>
                <w:sz w:val="24"/>
                <w:szCs w:val="24"/>
              </w:rPr>
              <w:t>NO</w:t>
            </w:r>
          </w:p>
        </w:tc>
      </w:tr>
    </w:tbl>
    <w:p w:rsidR="00AB45EA" w:rsidRDefault="00AB45EA">
      <w:pPr>
        <w:spacing w:before="240" w:after="0"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8D3303" w:rsidRDefault="008D3303">
      <w:pPr>
        <w:spacing w:before="240" w:after="0"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AB45EA" w:rsidRDefault="005258D6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  <w:u w:val="single"/>
        </w:rPr>
        <w:t>CORE FACILITY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DESCRIPTION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(max</w:t>
      </w:r>
      <w:r>
        <w:rPr>
          <w:rFonts w:ascii="Arial" w:eastAsia="Arial" w:hAnsi="Arial" w:cs="Arial"/>
          <w:b/>
          <w:sz w:val="24"/>
          <w:szCs w:val="24"/>
        </w:rPr>
        <w:t xml:space="preserve"> 2000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words)</w:t>
      </w:r>
    </w:p>
    <w:p w:rsidR="00AB45EA" w:rsidRDefault="005258D6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DESCRIPTION OF THE CORE FACILITY </w:t>
      </w:r>
      <w:r>
        <w:rPr>
          <w:rFonts w:ascii="Arial" w:eastAsia="Arial" w:hAnsi="Arial" w:cs="Arial"/>
          <w:i/>
          <w:sz w:val="24"/>
          <w:szCs w:val="24"/>
        </w:rPr>
        <w:t>(URL, organization, access rules)</w:t>
      </w:r>
    </w:p>
    <w:p w:rsidR="00AB45EA" w:rsidRDefault="00AB45EA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AB45EA" w:rsidRDefault="005258D6">
      <w:pPr>
        <w:numPr>
          <w:ilvl w:val="0"/>
          <w:numId w:val="2"/>
        </w:numPr>
        <w:spacing w:after="0"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EXPERTISE PRESENT IN THE CORE FACILITY</w:t>
      </w:r>
      <w:r>
        <w:rPr>
          <w:rFonts w:ascii="Arial" w:eastAsia="Arial" w:hAnsi="Arial" w:cs="Arial"/>
          <w:sz w:val="24"/>
          <w:szCs w:val="24"/>
        </w:rPr>
        <w:t xml:space="preserve"> (short </w:t>
      </w:r>
      <w:r>
        <w:rPr>
          <w:rFonts w:ascii="Arial" w:eastAsia="Arial" w:hAnsi="Arial" w:cs="Arial"/>
          <w:i/>
          <w:sz w:val="24"/>
          <w:szCs w:val="24"/>
        </w:rPr>
        <w:t>CV of the staff</w:t>
      </w:r>
      <w:r>
        <w:rPr>
          <w:rFonts w:ascii="Arial" w:eastAsia="Arial" w:hAnsi="Arial" w:cs="Arial"/>
          <w:sz w:val="24"/>
          <w:szCs w:val="24"/>
        </w:rPr>
        <w:t>)</w:t>
      </w:r>
    </w:p>
    <w:p w:rsidR="00AB45EA" w:rsidRDefault="00AB45EA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AB45EA" w:rsidRDefault="005258D6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INSTRUMENTATION AVAILABLE IN THE CORE FACILITY </w:t>
      </w:r>
      <w:r>
        <w:rPr>
          <w:rFonts w:ascii="Arial" w:eastAsia="Arial" w:hAnsi="Arial" w:cs="Arial"/>
          <w:i/>
          <w:sz w:val="24"/>
          <w:szCs w:val="24"/>
        </w:rPr>
        <w:t>(with specific focus on the instruments involved in the service)</w:t>
      </w:r>
    </w:p>
    <w:p w:rsidR="00AB45EA" w:rsidRDefault="005258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REFERENCES </w:t>
      </w:r>
      <w:r>
        <w:rPr>
          <w:rFonts w:ascii="Arial" w:eastAsia="Arial" w:hAnsi="Arial" w:cs="Arial"/>
          <w:i/>
          <w:sz w:val="24"/>
          <w:szCs w:val="24"/>
        </w:rPr>
        <w:t>(main publications that demonstrate the core facility activity in serving multiple users in the last 5 years)</w:t>
      </w:r>
    </w:p>
    <w:p w:rsidR="00AB45EA" w:rsidRDefault="00AB45EA">
      <w:pPr>
        <w:spacing w:after="0" w:line="276" w:lineRule="auto"/>
        <w:ind w:firstLine="720"/>
        <w:rPr>
          <w:rFonts w:ascii="Arial" w:eastAsia="Arial" w:hAnsi="Arial" w:cs="Arial"/>
          <w:i/>
          <w:sz w:val="24"/>
          <w:szCs w:val="24"/>
        </w:rPr>
      </w:pPr>
    </w:p>
    <w:p w:rsidR="00AB45EA" w:rsidRDefault="00AB45EA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</w:p>
    <w:p w:rsidR="00AB45EA" w:rsidRDefault="00AB45EA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</w:p>
    <w:p w:rsidR="00AB45EA" w:rsidRDefault="005258D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Signature of the Applicant</w:t>
      </w:r>
    </w:p>
    <w:p w:rsidR="00AB45EA" w:rsidRDefault="00AB45E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AB45EA" w:rsidRDefault="005258D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>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</w:t>
      </w:r>
    </w:p>
    <w:p w:rsidR="00AB45EA" w:rsidRDefault="00AB45E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sectPr w:rsidR="00AB45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51" w:right="1440" w:bottom="144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D6" w:rsidRDefault="005258D6">
      <w:pPr>
        <w:spacing w:after="0" w:line="240" w:lineRule="auto"/>
      </w:pPr>
      <w:r>
        <w:separator/>
      </w:r>
    </w:p>
  </w:endnote>
  <w:endnote w:type="continuationSeparator" w:id="0">
    <w:p w:rsidR="005258D6" w:rsidRDefault="0052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EA" w:rsidRDefault="005258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6407A">
      <w:rPr>
        <w:color w:val="000000"/>
      </w:rPr>
      <w:fldChar w:fldCharType="separate"/>
    </w:r>
    <w:r w:rsidR="00D6407A">
      <w:rPr>
        <w:noProof/>
        <w:color w:val="000000"/>
      </w:rPr>
      <w:t>1</w:t>
    </w:r>
    <w:r>
      <w:rPr>
        <w:color w:val="000000"/>
      </w:rPr>
      <w:fldChar w:fldCharType="end"/>
    </w:r>
  </w:p>
  <w:p w:rsidR="00AB45EA" w:rsidRDefault="00AB45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EA" w:rsidRDefault="00AB4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D6" w:rsidRDefault="005258D6">
      <w:pPr>
        <w:spacing w:after="0" w:line="240" w:lineRule="auto"/>
      </w:pPr>
      <w:r>
        <w:separator/>
      </w:r>
    </w:p>
  </w:footnote>
  <w:footnote w:type="continuationSeparator" w:id="0">
    <w:p w:rsidR="005258D6" w:rsidRDefault="0052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EA" w:rsidRDefault="005258D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114300" distB="114300" distL="114300" distR="114300">
          <wp:extent cx="5731200" cy="711200"/>
          <wp:effectExtent l="0" t="0" r="0" b="0"/>
          <wp:docPr id="18653131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45EA" w:rsidRPr="00D6407A" w:rsidRDefault="005258D6">
    <w:pPr>
      <w:spacing w:before="240" w:after="0" w:line="240" w:lineRule="auto"/>
      <w:ind w:left="-284" w:right="-323"/>
      <w:rPr>
        <w:rFonts w:ascii="Arial" w:eastAsia="Arial" w:hAnsi="Arial" w:cs="Arial"/>
        <w:b/>
        <w:color w:val="A6A6A6"/>
        <w:sz w:val="24"/>
        <w:szCs w:val="24"/>
        <w:lang w:val="it-IT"/>
      </w:rPr>
    </w:pPr>
    <w:r w:rsidRPr="00D6407A">
      <w:rPr>
        <w:rFonts w:ascii="Arial" w:eastAsia="Arial" w:hAnsi="Arial" w:cs="Arial"/>
        <w:b/>
        <w:color w:val="A6A6A6"/>
        <w:sz w:val="24"/>
        <w:szCs w:val="24"/>
        <w:lang w:val="it-IT"/>
      </w:rPr>
      <w:t>Allegato 2</w:t>
    </w:r>
  </w:p>
  <w:p w:rsidR="00AB45EA" w:rsidRPr="00D6407A" w:rsidRDefault="005258D6">
    <w:pPr>
      <w:spacing w:before="240" w:after="0" w:line="240" w:lineRule="auto"/>
      <w:ind w:right="-323"/>
      <w:jc w:val="center"/>
      <w:rPr>
        <w:rFonts w:ascii="Arial" w:eastAsia="Arial" w:hAnsi="Arial" w:cs="Arial"/>
        <w:b/>
        <w:color w:val="A6A6A6"/>
        <w:sz w:val="24"/>
        <w:szCs w:val="24"/>
        <w:lang w:val="it-IT"/>
      </w:rPr>
    </w:pPr>
    <w:r w:rsidRPr="00D6407A">
      <w:rPr>
        <w:rFonts w:ascii="Arial" w:eastAsia="Arial" w:hAnsi="Arial" w:cs="Arial"/>
        <w:b/>
        <w:color w:val="A6A6A6"/>
        <w:sz w:val="24"/>
        <w:szCs w:val="24"/>
        <w:lang w:val="it-IT"/>
      </w:rPr>
      <w:t>CALL “TEST INTERLABORATORIO PER CORE FACILITIES NICo-BBMRI.it - STUDIO PILOTA”</w:t>
    </w:r>
  </w:p>
  <w:p w:rsidR="00AB45EA" w:rsidRPr="00D6407A" w:rsidRDefault="005258D6">
    <w:pPr>
      <w:spacing w:after="0" w:line="240" w:lineRule="auto"/>
      <w:ind w:left="-283" w:right="-324"/>
      <w:jc w:val="center"/>
      <w:rPr>
        <w:rFonts w:ascii="Arial" w:eastAsia="Arial" w:hAnsi="Arial" w:cs="Arial"/>
        <w:b/>
        <w:color w:val="A6A6A6"/>
        <w:sz w:val="24"/>
        <w:szCs w:val="24"/>
        <w:lang w:val="it-IT"/>
      </w:rPr>
    </w:pPr>
    <w:r w:rsidRPr="00D6407A">
      <w:rPr>
        <w:rFonts w:ascii="Arial" w:eastAsia="Arial" w:hAnsi="Arial" w:cs="Arial"/>
        <w:b/>
        <w:color w:val="A6A6A6"/>
        <w:sz w:val="24"/>
        <w:szCs w:val="24"/>
        <w:lang w:val="it-IT"/>
      </w:rPr>
      <w:t>Project PNRR IR “Strengthening BBMRI.it - Rafforzamento dell'Infrastruttura di Ricerca delle Biobanche e delle Risorse Biomolecolari in Italia”</w:t>
    </w:r>
  </w:p>
  <w:p w:rsidR="00AB45EA" w:rsidRDefault="005258D6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Arial" w:eastAsia="Arial" w:hAnsi="Arial" w:cs="Arial"/>
        <w:b/>
        <w:color w:val="A6A6A6"/>
        <w:sz w:val="24"/>
        <w:szCs w:val="24"/>
      </w:rPr>
      <w:t>IR0000031 – CUP n. B53C22001820006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EA" w:rsidRDefault="005258D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114300" distB="114300" distL="114300" distR="114300">
          <wp:extent cx="5731200" cy="711200"/>
          <wp:effectExtent l="0" t="0" r="0" b="0"/>
          <wp:docPr id="18653131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45EA" w:rsidRDefault="005258D6">
    <w:pPr>
      <w:spacing w:before="240" w:after="0" w:line="240" w:lineRule="auto"/>
      <w:ind w:left="-284" w:right="-323"/>
      <w:rPr>
        <w:rFonts w:ascii="Arial" w:eastAsia="Arial" w:hAnsi="Arial" w:cs="Arial"/>
        <w:b/>
        <w:color w:val="A6A6A6"/>
        <w:sz w:val="24"/>
        <w:szCs w:val="24"/>
      </w:rPr>
    </w:pPr>
    <w:proofErr w:type="spellStart"/>
    <w:r>
      <w:rPr>
        <w:rFonts w:ascii="Arial" w:eastAsia="Arial" w:hAnsi="Arial" w:cs="Arial"/>
        <w:b/>
        <w:color w:val="A6A6A6"/>
        <w:sz w:val="24"/>
        <w:szCs w:val="24"/>
      </w:rPr>
      <w:t>Allegato</w:t>
    </w:r>
    <w:proofErr w:type="spellEnd"/>
    <w:r>
      <w:rPr>
        <w:rFonts w:ascii="Arial" w:eastAsia="Arial" w:hAnsi="Arial" w:cs="Arial"/>
        <w:b/>
        <w:color w:val="A6A6A6"/>
        <w:sz w:val="24"/>
        <w:szCs w:val="24"/>
      </w:rPr>
      <w:t xml:space="preserve"> 2</w:t>
    </w:r>
  </w:p>
  <w:p w:rsidR="00AB45EA" w:rsidRDefault="005258D6">
    <w:pPr>
      <w:spacing w:before="240" w:after="0" w:line="240" w:lineRule="auto"/>
      <w:ind w:right="-323"/>
      <w:jc w:val="center"/>
      <w:rPr>
        <w:rFonts w:ascii="Arial" w:eastAsia="Arial" w:hAnsi="Arial" w:cs="Arial"/>
        <w:b/>
        <w:color w:val="A6A6A6"/>
        <w:sz w:val="24"/>
        <w:szCs w:val="24"/>
      </w:rPr>
    </w:pPr>
    <w:r>
      <w:rPr>
        <w:rFonts w:ascii="Arial" w:eastAsia="Arial" w:hAnsi="Arial" w:cs="Arial"/>
        <w:b/>
        <w:color w:val="A6A6A6"/>
        <w:sz w:val="24"/>
        <w:szCs w:val="24"/>
      </w:rPr>
      <w:t>CALL “INTER-LABORATORY REPRODUCIBILITY TESTING FOR BBMRI.it CORE</w:t>
    </w:r>
    <w:r>
      <w:rPr>
        <w:rFonts w:ascii="Arial" w:eastAsia="Arial" w:hAnsi="Arial" w:cs="Arial"/>
        <w:b/>
        <w:color w:val="A6A6A6"/>
        <w:sz w:val="24"/>
        <w:szCs w:val="24"/>
      </w:rPr>
      <w:t xml:space="preserve"> FACILITIES”</w:t>
    </w:r>
  </w:p>
  <w:p w:rsidR="00AB45EA" w:rsidRPr="00D6407A" w:rsidRDefault="005258D6">
    <w:pPr>
      <w:spacing w:after="0" w:line="240" w:lineRule="auto"/>
      <w:ind w:left="-283" w:right="-324"/>
      <w:jc w:val="center"/>
      <w:rPr>
        <w:rFonts w:ascii="Arial" w:eastAsia="Arial" w:hAnsi="Arial" w:cs="Arial"/>
        <w:b/>
        <w:color w:val="A6A6A6"/>
        <w:sz w:val="24"/>
        <w:szCs w:val="24"/>
        <w:lang w:val="it-IT"/>
      </w:rPr>
    </w:pPr>
    <w:r w:rsidRPr="00D6407A">
      <w:rPr>
        <w:rFonts w:ascii="Arial" w:eastAsia="Arial" w:hAnsi="Arial" w:cs="Arial"/>
        <w:b/>
        <w:color w:val="A6A6A6"/>
        <w:sz w:val="24"/>
        <w:szCs w:val="24"/>
        <w:lang w:val="it-IT"/>
      </w:rPr>
      <w:t>Project PNRR IR “Strengthening BBMRI.it - Rafforzamento dell'Infrastruttura di Ricerca delle Biobanche e delle Risorse Biomolecolari in Italia”</w:t>
    </w:r>
  </w:p>
  <w:p w:rsidR="00AB45EA" w:rsidRDefault="005258D6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Arial" w:eastAsia="Arial" w:hAnsi="Arial" w:cs="Arial"/>
        <w:b/>
        <w:color w:val="A6A6A6"/>
        <w:sz w:val="24"/>
        <w:szCs w:val="24"/>
      </w:rPr>
      <w:t>IR0000031 – CUP n. B53C22001820006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67FE"/>
    <w:multiLevelType w:val="multilevel"/>
    <w:tmpl w:val="9F565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F50A67"/>
    <w:multiLevelType w:val="multilevel"/>
    <w:tmpl w:val="A146A6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EA"/>
    <w:rsid w:val="005258D6"/>
    <w:rsid w:val="008D3303"/>
    <w:rsid w:val="00AB45EA"/>
    <w:rsid w:val="00D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A2AB"/>
  <w15:docId w15:val="{3EE53319-569D-40D2-86E7-0AF874F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5844"/>
  </w:style>
  <w:style w:type="paragraph" w:styleId="Titolo1">
    <w:name w:val="heading 1"/>
    <w:basedOn w:val="Normale"/>
    <w:next w:val="Normale"/>
    <w:link w:val="Titolo1Carattere"/>
    <w:uiPriority w:val="9"/>
    <w:qFormat/>
    <w:rsid w:val="008A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6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6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6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6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6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6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6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A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6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60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60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60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60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60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609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8A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60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60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60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60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60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7C2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3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359C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803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03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03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03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031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23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223"/>
  </w:style>
  <w:style w:type="paragraph" w:styleId="Pidipagina">
    <w:name w:val="footer"/>
    <w:basedOn w:val="Normale"/>
    <w:link w:val="PidipaginaCarattere"/>
    <w:uiPriority w:val="99"/>
    <w:unhideWhenUsed/>
    <w:rsid w:val="00C23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223"/>
  </w:style>
  <w:style w:type="paragraph" w:customStyle="1" w:styleId="paragraph">
    <w:name w:val="paragraph"/>
    <w:basedOn w:val="Normale"/>
    <w:rsid w:val="00A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A70F78"/>
  </w:style>
  <w:style w:type="character" w:customStyle="1" w:styleId="eop">
    <w:name w:val="eop"/>
    <w:basedOn w:val="Carpredefinitoparagrafo"/>
    <w:rsid w:val="00A70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5FD"/>
    <w:rPr>
      <w:rFonts w:ascii="Segoe UI" w:hAnsi="Segoe UI" w:cs="Segoe UI"/>
      <w:sz w:val="18"/>
      <w:szCs w:val="18"/>
    </w:rPr>
  </w:style>
  <w:style w:type="table" w:customStyle="1" w:styleId="a">
    <w:basedOn w:val="Tabellanormal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Y14zFPXjebfVcTp86QrWYLPUA==">CgMxLjAyCGguZ2pkZ3hzMgloLjMwajB6bGw4AGokChRzdWdnZXN0LmN2d3lhaW9ydWhmdxIMQW5nZWxhIEJvenphaiQKFHN1Z2dlc3QuNmNueml5eTFlMHZyEgxBbmdlbGEgQm96emFqJAoUc3VnZ2VzdC4xejFvbHBpbjV2YjASDEFuZ2VsYSBCb3p6YXIhMXo4MkVjVEtVa1VnNEdNVHdsTUFQSUdwQkRuUHZ2eTVG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Chevalier</dc:creator>
  <cp:lastModifiedBy>Bozza, Angela</cp:lastModifiedBy>
  <cp:revision>3</cp:revision>
  <dcterms:created xsi:type="dcterms:W3CDTF">2024-10-23T17:32:00Z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0x0101003783D0C1E4763543854AC299D7BDD571</vt:lpwstr>
  </property>
  <property fmtid="{D5CDD505-2E9C-101B-9397-08002B2CF9AE}" pid="3" name="MediaServiceImageTags">
    <vt:lpwstr>MediaServiceImageTags</vt:lpwstr>
  </property>
</Properties>
</file>