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jc w:val="center"/>
        <w:rPr>
          <w:rFonts w:ascii="Arial Narrow" w:cs="Arial Narrow" w:eastAsia="Arial Narrow" w:hAnsi="Arial Narrow"/>
          <w:b w:val="1"/>
          <w:bCs w:val="1"/>
          <w:color w:val="0b5394"/>
          <w:sz w:val="34"/>
          <w:szCs w:val="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b5394"/>
          <w:sz w:val="34"/>
          <w:szCs w:val="34"/>
          <w:rtl w:val="0"/>
        </w:rPr>
        <w:t xml:space="preserve">Relazione annuale sullo stato della</w:t>
      </w:r>
    </w:p>
    <w:p w:rsidR="00000000" w:rsidDel="00000000" w:rsidP="00000000" w:rsidRDefault="00000000" w:rsidRPr="00000000" w14:paraId="00000002">
      <w:pPr>
        <w:spacing w:after="80" w:lineRule="auto"/>
        <w:jc w:val="center"/>
        <w:rPr>
          <w:rFonts w:ascii="Arial Narrow" w:cs="Arial Narrow" w:eastAsia="Arial Narrow" w:hAnsi="Arial Narrow"/>
          <w:b w:val="1"/>
          <w:bCs w:val="1"/>
          <w:color w:val="0b5394"/>
          <w:sz w:val="34"/>
          <w:szCs w:val="3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b5394"/>
          <w:sz w:val="34"/>
          <w:szCs w:val="34"/>
          <w:rtl w:val="0"/>
        </w:rPr>
        <w:t xml:space="preserve">Assicurazione della Qualità in Dipartimento/Centro</w:t>
      </w:r>
    </w:p>
    <w:p w:rsidR="00000000" w:rsidDel="00000000" w:rsidP="00000000" w:rsidRDefault="00000000" w:rsidRPr="00000000" w14:paraId="00000003">
      <w:pPr>
        <w:spacing w:after="80" w:lineRule="auto"/>
        <w:rPr>
          <w:rFonts w:ascii="Arial Narrow" w:cs="Arial Narrow" w:eastAsia="Arial Narrow" w:hAnsi="Arial Narrow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8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DIPARTIMENTO/CENTRO: </w:t>
      </w:r>
    </w:p>
    <w:p w:rsidR="00000000" w:rsidDel="00000000" w:rsidP="00000000" w:rsidRDefault="00000000" w:rsidRPr="00000000" w14:paraId="00000005">
      <w:pPr>
        <w:spacing w:after="8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DELEGATO/A QUALITA’: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Anno di riferimento: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80" w:lineRule="auto"/>
        <w:rPr>
          <w:rFonts w:ascii="Arial Narrow" w:cs="Arial Narrow" w:eastAsia="Arial Narrow" w:hAnsi="Arial Narrow"/>
          <w:sz w:val="22"/>
          <w:szCs w:val="22"/>
          <w:highlight w:val="whit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highlight w:val="white"/>
          <w:rtl w:val="0"/>
        </w:rPr>
        <w:t xml:space="preserve">Data di presentazione in CdD:</w:t>
      </w:r>
    </w:p>
    <w:p w:rsidR="00000000" w:rsidDel="00000000" w:rsidP="00000000" w:rsidRDefault="00000000" w:rsidRPr="00000000" w14:paraId="00000008">
      <w:pPr>
        <w:widowControl w:val="0"/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Se l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a struttura è stata sottoposta a visita di accreditamento periodico, le diverse sezioni dovranno essere integrate con le azioni di miglioramento attuate in risposta alle raccomandazioni della CEV. </w:t>
      </w:r>
    </w:p>
    <w:p w:rsidR="00000000" w:rsidDel="00000000" w:rsidP="00000000" w:rsidRDefault="00000000" w:rsidRPr="00000000" w14:paraId="0000000A">
      <w:pPr>
        <w:widowControl w:val="0"/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Arial Narrow" w:cs="Arial Narrow" w:eastAsia="Arial Narrow" w:hAnsi="Arial Narrow"/>
          <w:color w:val="0b5394"/>
          <w:sz w:val="18"/>
          <w:szCs w:val="1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b5394"/>
          <w:sz w:val="26"/>
          <w:szCs w:val="26"/>
          <w:rtl w:val="0"/>
        </w:rPr>
        <w:t xml:space="preserve">Pianificazione strategica del Dipartimento/Centro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60" w:lineRule="auto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7860"/>
        <w:tblGridChange w:id="0">
          <w:tblGrid>
            <w:gridCol w:w="1770"/>
            <w:gridCol w:w="786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restart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E.DIP.1 Definizione delle linee strategiche e consultazioni parti interessate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Gli obiettivi strategici della struttura sono declinati nel Piano triennale di Dipartimento/Centro (su didattica, dottorato, ricerca e terza missione), tenendo conto delle linee strategiche di Ateneo e dei risultati conseguiti nei cicli precedenti?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ha un Comitato di Indirizzo, prevede a periodiche consultazioni e collaborazioni con gli attori economici, sociali o culturali del territorio? Gli incontri con le parti sociali vengono opportunamente verbalizzati?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E.DIP.2  Attuazione, monitoraggio e riesame delle attività di didattica ricerca e T.M.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ha proceduto al monitoraggio annuale degli obiettivi del Piano triennale di Dipartimento/Centro, analizzando i risultati conseguiti, le criticità emerse, le relative cause?</w:t>
            </w:r>
          </w:p>
        </w:tc>
      </w:tr>
    </w:tbl>
    <w:p w:rsidR="00000000" w:rsidDel="00000000" w:rsidP="00000000" w:rsidRDefault="00000000" w:rsidRPr="00000000" w14:paraId="0000001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300 parole]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1"/>
        <w:spacing w:after="0" w:lineRule="auto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Sviluppo e diffusione della cultura della qualità in Dipartimento/Centro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60" w:lineRule="auto"/>
        <w:rPr>
          <w:rFonts w:ascii="Arial Narrow" w:cs="Arial Narrow" w:eastAsia="Arial Narrow" w:hAnsi="Arial Narrow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55"/>
        <w:gridCol w:w="7845"/>
        <w:tblGridChange w:id="0">
          <w:tblGrid>
            <w:gridCol w:w="1755"/>
            <w:gridCol w:w="7845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E.DIP.2.3 Sistema di AQ di Dipartimento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sistema di AQ in Dipartimento/Centro risulta coerente alle indicazioni e Linee guida del PQA? (nelle attività di didattica, ricerca e terza missione) - 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19"/>
                  <w:szCs w:val="19"/>
                  <w:u w:val="single"/>
                  <w:rtl w:val="0"/>
                </w:rPr>
                <w:t xml:space="preserve">web Documentazione Qualità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D.CDS.2 </w:t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AQ nell’erogazione del Corso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Nei CdS del Dipartimento/Centro sono state sviluppate innovazioni didattiche e si sono diffuse buone pratiche? 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Come si è tenuto conto delle segnalazioni degli/lle studenti e delle criticità emerse dalle rilevazioni della qualità della didattica (OpiS)?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C.1/E.DIP.2.5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Discussione collegiale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Si discute negli organi collegiali di Dipartimento/Centro in merito alla documentazione prodotta sulla qualità della didattica, della ricerca e della terza missione?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A.5/D.CDS.4.1.2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Coinvolgimento studentesco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Come è stato realizzato il coinvolgimento della comunità studentesca nei processi per la qualità? Gli studenti possono rendere note agevolmente le proprie osservazioni e proposte di miglioramento?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5"/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D.CDS.3.1 Dotazione e qualificazione del personale docente/tutor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 nuovi assunti e il corpo docente hanno partecipato alle attività di formazione/aggiornamento didattico, incluse metodologie innovative?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C.3 Osservazioni NdV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È stato dato seguito alle osservazioni del Nucleo di Valutazione riguardanti i vari ambiti?</w:t>
            </w:r>
          </w:p>
        </w:tc>
      </w:tr>
    </w:tbl>
    <w:p w:rsidR="00000000" w:rsidDel="00000000" w:rsidP="00000000" w:rsidRDefault="00000000" w:rsidRPr="00000000" w14:paraId="0000002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500/600 ]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spacing w:after="0" w:before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Verifica del corretto svolgimento dei processi di AQ nella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60" w:lineRule="auto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7830"/>
        <w:tblGridChange w:id="0">
          <w:tblGrid>
            <w:gridCol w:w="1770"/>
            <w:gridCol w:w="7830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D.CDS.1.1 AQ nei Corsi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 responsabili dei CdS hanno curato in modo completo e corretto la compilazione annuale della SUA-CdS?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92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D.CDS.1/D.1 Programmazione offerta formativa e sua sostenibilità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monitoraggio dei CdS e delle attività didattiche con basso numero di studenti è stato svolto, in coerenza con quanto deliberato dal SA in data</w:t>
            </w: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highlight w:val="white"/>
                <w:rtl w:val="0"/>
              </w:rPr>
              <w:t xml:space="preserve"> 23 luglio 2023?</w:t>
            </w: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 Le azioni previste sono state efficaci?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right="-5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D.CDS.1 Progettazione del CdS e consultazione delle parti interessate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Nell’attività di progettazione/riprogettazione di CdS, i referenti hanno seguito le indicazioni delle linee guida di Ateneo e del CUN/ANVUR, compresa la consultazione delle parti interessate e degli eventuali comitati di indirizzo/advisory board?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D.CDS.4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Riesame e miglioramento del CdS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 gruppi di riesame dei CdS hanno commentato criticamente le schede di monitoraggio e i questionari sulla didattica (OpiS), analizzato le criticità e proposto azioni di miglioramento? Hanno verificato la completezza e pubblicazione dei Syllabi degli insegnamenti?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La CPDS ha operato in modo continuativo, tenendo traccia dei propri incontri e contribuendo a evidenziare situazioni problematiche?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right="-65"/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D.CDS.1.1  </w:t>
            </w:r>
          </w:p>
          <w:p w:rsidR="00000000" w:rsidDel="00000000" w:rsidP="00000000" w:rsidRDefault="00000000" w:rsidRPr="00000000" w14:paraId="00000042">
            <w:pPr>
              <w:ind w:right="-65"/>
              <w:rPr>
                <w:rFonts w:ascii="Arial Narrow" w:cs="Arial Narrow" w:eastAsia="Arial Narrow" w:hAnsi="Arial Narrow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AQ nei Corsi di 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highlight w:val="white"/>
                <w:rtl w:val="0"/>
              </w:rPr>
              <w:t xml:space="preserve">I documenti di AQ (scheda monitoraggio, rapporto riesame ciclico, relazione CPDS) sono stati discussi in Consiglio di Dipartimento?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500/600 parole ]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Verifica del corretto svolgimento dei processi di AQ nei Dottorati di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60" w:lineRule="auto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7830"/>
        <w:tblGridChange w:id="0">
          <w:tblGrid>
            <w:gridCol w:w="1770"/>
            <w:gridCol w:w="7830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D.PHD 1 Riprogettazione 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Nell’eventuale riprogettazione del Corso di Dottorato, il/la Coordinatore ha seguito le indicazioni delle linee guida di Ateneo?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D.PHD 3 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Monitoraggio e autovalutazione 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Il/la Coordinatore del Dottorato di Ricerca procede all’autovalutazione sullo stato del Corso e ne monitora l’andamento degli indicatori (indicatori DM 226/2021, Almalaurea, etc.) e l’esito dei questionari sulla qualità del Dottorato (OpiD), secondo le linee guida di Ateneo, al fine di individuare azioni di miglioramento?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300 parole ]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1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Verifica del corretto svolgimento dei processi di AQ nella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60" w:lineRule="auto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7860"/>
        <w:tblGridChange w:id="0">
          <w:tblGrid>
            <w:gridCol w:w="1740"/>
            <w:gridCol w:w="7860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E.DIP.2.4 Monitoraggio e azioni miglioramento ricerca e t.m.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 Narrow" w:cs="Arial Narrow" w:eastAsia="Arial Narrow" w:hAnsi="Arial Narrow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redige un rapporto sullo stato della ricerca, in cui dà evidenza dei risultati raggiunti e dei finanziamenti acquisiti? È stato presentato in Consiglio di Dipartimento/Centro? </w:t>
            </w:r>
          </w:p>
          <w:p w:rsidR="00000000" w:rsidDel="00000000" w:rsidP="00000000" w:rsidRDefault="00000000" w:rsidRPr="00000000" w14:paraId="0000005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Nel rapporto sulla ricerca sono evidenziate aree di miglioramento e proposte azioni adeguate? Le azioni di miglioramento degli anni precedenti sono state attuate e monitorate per verificarne l’efficacia?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 monitora l’andamento degli indicatori sulla ricerca e terza missione (SMA-RTM)? È stato presentato in Consiglio di Dipartimento/Centro?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E.DIP.3.1 Criteri di distribuzione risorse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ha definito con chiarezza e trasparenza i criteri di distribuzione interna delle risorse economiche per la realizzazione delle attività di ricerca e della terza missione?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300 parole ]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Style w:val="Heading1"/>
        <w:spacing w:after="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Verifica del corretto svolgimento dei processi di AQ nella Terza Missione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60" w:lineRule="auto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0"/>
        <w:gridCol w:w="7740"/>
        <w:tblGridChange w:id="0">
          <w:tblGrid>
            <w:gridCol w:w="1830"/>
            <w:gridCol w:w="7740"/>
          </w:tblGrid>
        </w:tblGridChange>
      </w:tblGrid>
      <w:tr>
        <w:trPr>
          <w:cantSplit w:val="0"/>
          <w:trHeight w:val="340" w:hRule="atLeast"/>
          <w:tblHeader w:val="1"/>
        </w:trPr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Punto di attenzione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Domande guida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restart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color w:val="073763"/>
                <w:sz w:val="19"/>
                <w:szCs w:val="19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73763"/>
                <w:sz w:val="19"/>
                <w:szCs w:val="19"/>
                <w:rtl w:val="0"/>
              </w:rPr>
              <w:t xml:space="preserve">E.DIP.1 Definizione delle linee strategiche e collaborazioni con il territorio</w:t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promuove e monitora l’attività di divulgazione scientifica e trasmissione della conoscenza?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Il Dipartimento/Centro registra le proprie attività di terza missione (non censite dall’Ateneo)?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3f3f3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bbbbbb" w:space="0" w:sz="4" w:val="single"/>
              <w:bottom w:color="bbbbbb" w:space="0" w:sz="4" w:val="single"/>
              <w:right w:color="bbbbbb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9"/>
                <w:szCs w:val="19"/>
                <w:rtl w:val="0"/>
              </w:rPr>
              <w:t xml:space="preserve">Sono stati stipulati accordi di collaborazione con enti, aziende o soggetti del territorio per attività di ricerca applicata, trasferimento tecnologico o impatto sociale?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  <w:rtl w:val="0"/>
              </w:rPr>
              <w:t xml:space="preserve">[circa 300 parole]</w:t>
            </w:r>
          </w:p>
          <w:p w:rsidR="00000000" w:rsidDel="00000000" w:rsidP="00000000" w:rsidRDefault="00000000" w:rsidRPr="00000000" w14:paraId="00000070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pStyle w:val="Heading1"/>
        <w:spacing w:after="0" w:lineRule="auto"/>
        <w:ind w:right="-432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Fonts w:ascii="Arial Narrow" w:cs="Arial Narrow" w:eastAsia="Arial Narrow" w:hAnsi="Arial Narrow"/>
          <w:color w:val="0b5394"/>
          <w:sz w:val="26"/>
          <w:szCs w:val="26"/>
          <w:rtl w:val="0"/>
        </w:rPr>
        <w:t xml:space="preserve">Eventuali ulteriori commenti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Arial Narrow" w:cs="Arial Narrow" w:eastAsia="Arial Narrow" w:hAnsi="Arial Narrow"/>
                <w:i w:val="1"/>
                <w:iCs w:val="1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pStyle w:val="Heading1"/>
        <w:rPr>
          <w:rFonts w:ascii="Arial Narrow" w:cs="Arial Narrow" w:eastAsia="Arial Narrow" w:hAnsi="Arial Narrow"/>
        </w:rPr>
      </w:pPr>
      <w:bookmarkStart w:colFirst="0" w:colLast="0" w:name="_heading=h.2vrb95o1k17x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134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Allegato_ LG Delegati Qualità</w:t>
    </w:r>
  </w:p>
  <w:p w:rsidR="00000000" w:rsidDel="00000000" w:rsidP="00000000" w:rsidRDefault="00000000" w:rsidRPr="00000000" w14:paraId="0000007F">
    <w:pPr>
      <w:jc w:val="right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" w:before="320" w:lineRule="auto"/>
    </w:pPr>
    <w:rPr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i w:val="1"/>
      <w:iCs w:val="1"/>
      <w:color w:val="2e74b5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2e74b5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1f4d78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00000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itn.it/it/ateneo/qualita/documentazione/documentazione-qualita-unitrento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4w4kuFdzVm8McqEvF0wFpRJtdw==">CgMxLjAyDmguMnZyYjk1bzFrMTd4OAByITFEMjZ1di1lRF9DYWlrQUZfLVFYb2NmWERLV0NZb0pzTA==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